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R4-2510405                 </w:t>
      </w:r>
    </w:p>
    <w:p>
      <w:pPr>
        <w:spacing w:beforeLines="50" w:afterLines="50" w:line="240" w:lineRule="exact"/>
        <w:outlineLvl w:val="0"/>
        <w:rPr>
          <w:b/>
          <w:strike/>
          <w:dstrike w:val="0"/>
          <w:sz w:val="24"/>
        </w:rPr>
      </w:pPr>
      <w:r>
        <w:rPr>
          <w:rFonts w:ascii="Arial" w:hAnsi="Arial" w:eastAsia="宋体" w:cs="Arial"/>
          <w:b/>
          <w:sz w:val="24"/>
          <w:szCs w:val="24"/>
          <w:lang w:eastAsia="zh-CN"/>
        </w:rPr>
        <w:t>Bengaluru</w:t>
      </w:r>
      <w:r>
        <w:rPr>
          <w:rFonts w:ascii="Arial" w:hAnsi="Arial" w:cs="Arial"/>
          <w:b/>
          <w:sz w:val="24"/>
          <w:szCs w:val="24"/>
          <w:lang w:eastAsia="zh-CN"/>
        </w:rPr>
        <w:t>, India, 25th – 29th August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37.104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1028</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TS37.104</w:t>
            </w:r>
            <w:bookmarkStart w:id="177" w:name="_GoBack"/>
            <w:bookmarkEnd w:id="177"/>
            <w:r>
              <w:rPr>
                <w:rFonts w:hint="eastAsia" w:eastAsia="宋体"/>
                <w:highlight w:val="none"/>
                <w:lang w:val="en-US" w:eastAsia="zh-CN"/>
              </w:rPr>
              <w:t xml:space="preserve"> Introduction of 7 MHz NR FR1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8</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6.6.4.4, 6.6.4.6, 7.4.2, 7.7.1, 7.7.2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Theme="minorEastAsia"/>
                <w:lang w:val="en-US" w:eastAsia="zh-CN"/>
              </w:rPr>
            </w:pPr>
            <w:r>
              <w:t>TS</w:t>
            </w:r>
            <w:r>
              <w:rPr>
                <w:rFonts w:hint="eastAsia"/>
                <w:lang w:val="en-US" w:eastAsia="zh-CN"/>
              </w:rPr>
              <w:t xml:space="preserve">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This CR is based on the endorsed draft CR R4-2505137 in RAN4#114bis and the agreement made in RAN4#115.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ins w:id="0" w:author="ZTE" w:date="2025-03-27T16:14:34Z"/>
          <w:rFonts w:eastAsia="??"/>
          <w:color w:val="FF0000"/>
          <w:szCs w:val="32"/>
          <w:highlight w:val="none"/>
        </w:rPr>
      </w:pPr>
      <w:bookmarkStart w:id="1" w:name="_Toc67937315"/>
      <w:bookmarkStart w:id="2" w:name="OLE_LINK6"/>
      <w:bookmarkStart w:id="3" w:name="_Toc90588710"/>
      <w:bookmarkStart w:id="4" w:name="_Toc52381991"/>
      <w:bookmarkStart w:id="5" w:name="_Toc37256332"/>
      <w:bookmarkStart w:id="6" w:name="_Toc61375090"/>
      <w:bookmarkStart w:id="7" w:name="_Toc76630394"/>
      <w:bookmarkStart w:id="8" w:name="_Toc21345609"/>
      <w:bookmarkStart w:id="9" w:name="_Toc29806458"/>
      <w:bookmarkStart w:id="10" w:name="_Toc67936442"/>
      <w:bookmarkStart w:id="11" w:name="_Toc502932909"/>
      <w:bookmarkStart w:id="12" w:name="_Toc526331617"/>
      <w:bookmarkStart w:id="13" w:name="_Toc83742954"/>
      <w:bookmarkStart w:id="14" w:name="_Toc76452551"/>
      <w:bookmarkStart w:id="15" w:name="_Toc37255991"/>
      <w:bookmarkStart w:id="16" w:name="_Toc83887869"/>
      <w:bookmarkStart w:id="17" w:name="_Toc45890166"/>
      <w:bookmarkStart w:id="18" w:name="_Toc83887068"/>
      <w:r>
        <w:rPr>
          <w:rFonts w:eastAsia="??"/>
          <w:color w:val="FF0000"/>
          <w:szCs w:val="32"/>
          <w:highlight w:val="none"/>
        </w:rPr>
        <w:t>&lt;&lt; Start of change &gt;&gt;</w:t>
      </w:r>
    </w:p>
    <w:p>
      <w:pPr>
        <w:pStyle w:val="5"/>
      </w:pPr>
      <w:bookmarkStart w:id="19" w:name="_Toc45869079"/>
      <w:bookmarkStart w:id="20" w:name="_Toc61111885"/>
      <w:bookmarkStart w:id="21" w:name="_Toc44584786"/>
      <w:bookmarkStart w:id="22" w:name="_Toc36025916"/>
      <w:bookmarkStart w:id="23" w:name="_Toc66804640"/>
      <w:bookmarkStart w:id="24" w:name="_Toc76503078"/>
      <w:bookmarkStart w:id="25" w:name="_Toc105764962"/>
      <w:bookmarkStart w:id="26" w:name="_Toc138085267"/>
      <w:bookmarkStart w:id="27" w:name="_Toc89850875"/>
      <w:bookmarkStart w:id="28" w:name="_Toc83038751"/>
      <w:bookmarkStart w:id="29" w:name="_Toc187260660"/>
      <w:bookmarkStart w:id="30" w:name="_Toc52553638"/>
      <w:bookmarkStart w:id="31" w:name="_Toc155212259"/>
      <w:bookmarkStart w:id="32" w:name="_Toc61126128"/>
      <w:bookmarkStart w:id="33" w:name="_Toc124162678"/>
      <w:bookmarkStart w:id="34" w:name="_Toc29762741"/>
      <w:bookmarkStart w:id="35" w:name="_Toc61125967"/>
      <w:bookmarkStart w:id="36" w:name="_Toc98664960"/>
      <w:bookmarkStart w:id="37" w:name="_Toc130866045"/>
      <w:bookmarkStart w:id="38" w:name="_Toc145071552"/>
      <w:bookmarkStart w:id="39" w:name="_Toc138891763"/>
      <w:bookmarkStart w:id="40" w:name="_Toc123151162"/>
      <w:bookmarkStart w:id="41" w:name="_Toc74821214"/>
      <w:bookmarkStart w:id="42" w:name="_Toc21093212"/>
      <w:r>
        <w:t>6.6.4.4</w:t>
      </w:r>
      <w:r>
        <w:tab/>
      </w:r>
      <w:r>
        <w:t>Cumulative ACLR requirement in non-contiguous spectrum</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The following requirement applies for the sub-block or Inter RF Bandwidth gap sizes listed in Table 6.6.4.4-1:</w:t>
      </w:r>
    </w:p>
    <w:p>
      <w:pPr>
        <w:pStyle w:val="99"/>
      </w:pPr>
      <w:r>
        <w:t>-</w:t>
      </w:r>
      <w:r>
        <w:tab/>
      </w:r>
      <w:r>
        <w:t>Inside a sub-block gap within an operating band for a BS operating in non-contiguous spectrum.</w:t>
      </w:r>
    </w:p>
    <w:p>
      <w:pPr>
        <w:pStyle w:val="99"/>
      </w:pPr>
      <w:r>
        <w:t>-</w:t>
      </w:r>
      <w:r>
        <w:tab/>
      </w:r>
      <w:r>
        <w:t>Inside an Inter RF Bandwidth gap for a BS operating in multiple bands, where multiple bands are mapped on the same antenna connector.</w:t>
      </w:r>
    </w:p>
    <w:p>
      <w:r>
        <w:t xml:space="preserve">The Cumulative Adjacent Channel Leakage Power Ratio (CACLR) in a sub-block gap or the Inter RF Bandwidth gap is the ratio of </w:t>
      </w:r>
    </w:p>
    <w:p>
      <w:pPr>
        <w:pStyle w:val="99"/>
      </w:pPr>
      <w:r>
        <w:t>a)</w:t>
      </w:r>
      <w:r>
        <w:tab/>
      </w:r>
      <w:r>
        <w:t>the sum of the filtered mean power centred on the assigned channel frequencies for the two carriers adjacent to each side of the sub-block gap or the Inter RF Bandwidth gap, and</w:t>
      </w:r>
    </w:p>
    <w:p>
      <w:pPr>
        <w:pStyle w:val="99"/>
      </w:pPr>
      <w:r>
        <w:t>b)</w:t>
      </w:r>
      <w:r>
        <w:tab/>
      </w:r>
      <w:r>
        <w:t>the filtered mean power centred on a frequency channel adjacent to one of the respective sub-block edges or Base Station RF Bandwidth edges.</w:t>
      </w:r>
    </w:p>
    <w:p>
      <w:r>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pPr>
        <w:pStyle w:val="80"/>
      </w:pPr>
      <w:r>
        <w:t>NOTE:</w:t>
      </w:r>
      <w:r>
        <w:tab/>
      </w:r>
      <w:r>
        <w:t>If the RAT on the assigned channel frequencies are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 or the Inter RF Bandwidth gap shall be higher than the value specified in Table 6.6.4.4-1.</w:t>
      </w:r>
    </w:p>
    <w:p>
      <w:pPr>
        <w:pStyle w:val="79"/>
      </w:pPr>
      <w:r>
        <w:t>Table 6.6.4.4-1: Base Station CACLR in non-contiguous spectrum or multiple bands</w:t>
      </w:r>
    </w:p>
    <w:tbl>
      <w:tblPr>
        <w:tblStyle w:val="59"/>
        <w:tblW w:w="949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12"/>
        <w:gridCol w:w="1495"/>
        <w:gridCol w:w="2212"/>
        <w:gridCol w:w="1735"/>
        <w:gridCol w:w="2031"/>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Band Category</w:t>
            </w:r>
          </w:p>
        </w:tc>
        <w:tc>
          <w:tcPr>
            <w:tcW w:w="149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212"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BS adjacent channel centre frequency offset below or above the </w:t>
            </w:r>
            <w:r>
              <w:rPr>
                <w:rFonts w:eastAsia="宋体" w:cs="v5.0.0"/>
              </w:rPr>
              <w:t>sub-block edge</w:t>
            </w:r>
            <w:r>
              <w:rPr>
                <w:rFonts w:cs="Arial"/>
              </w:rPr>
              <w:t xml:space="preserve"> </w:t>
            </w:r>
            <w:r>
              <w:rPr>
                <w:rFonts w:eastAsia="宋体" w:cs="v5.0.0"/>
              </w:rPr>
              <w:t>or the Base Station RF Bandwidth edge (inside the gap)</w:t>
            </w:r>
          </w:p>
        </w:tc>
        <w:tc>
          <w:tcPr>
            <w:tcW w:w="173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Assumed adjacent channel carrier (informative)</w:t>
            </w:r>
          </w:p>
        </w:tc>
        <w:tc>
          <w:tcPr>
            <w:tcW w:w="2031"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Filter on the adjacent channel frequency and corresponding filter bandwidth</w:t>
            </w:r>
          </w:p>
        </w:tc>
        <w:tc>
          <w:tcPr>
            <w:tcW w:w="912"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eastAsia="宋体"/>
                <w:lang w:eastAsia="zh-CN"/>
              </w:rPr>
              <w:t xml:space="preserve">5 MHz </w:t>
            </w:r>
            <w:r>
              <w:rPr>
                <w:lang w:eastAsia="zh-CN"/>
              </w:rPr>
              <w:t xml:space="preserve">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zh-CN"/>
              </w:rPr>
              <w:t>7.5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eastAsia="宋体"/>
                <w:lang w:eastAsia="zh-CN"/>
              </w:rPr>
              <w:t>5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212"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97" w:type="dxa"/>
            <w:gridSpan w:val="6"/>
            <w:tcBorders>
              <w:top w:val="single" w:color="auto" w:sz="4" w:space="0"/>
            </w:tcBorders>
          </w:tcPr>
          <w:p>
            <w:pPr>
              <w:pStyle w:val="90"/>
              <w:rPr>
                <w:rFonts w:cs="Arial"/>
              </w:rPr>
            </w:pPr>
            <w:r>
              <w:rPr>
                <w:rFonts w:cs="Arial"/>
              </w:rPr>
              <w:t>NOTE 1:</w:t>
            </w:r>
            <w:r>
              <w:rPr>
                <w:rFonts w:cs="Arial"/>
              </w:rPr>
              <w:tab/>
            </w:r>
            <w:r>
              <w:rPr>
                <w:rFonts w:cs="Arial"/>
              </w:rPr>
              <w:t>The RRC filter shall be equivalent to the transmit pulse shape filter defined in TS 25.104 [2], with a chip rate as defined in this table.</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1" w:author="ZTE" w:date="2025-03-27T16:15:16Z">
              <w:r>
                <w:rPr>
                  <w:rFonts w:hint="eastAsia" w:eastAsia="宋体"/>
                  <w:lang w:val="en-US" w:eastAsia="zh-CN"/>
                </w:rPr>
                <w:t>7</w:t>
              </w:r>
            </w:ins>
            <w:ins w:id="2" w:author="ZTE" w:date="2025-03-27T16:15:17Z">
              <w:r>
                <w:rPr>
                  <w:rFonts w:hint="eastAsia" w:eastAsia="宋体"/>
                  <w:lang w:val="en-US" w:eastAsia="zh-CN"/>
                </w:rPr>
                <w:t>,</w:t>
              </w:r>
            </w:ins>
            <w:ins w:id="3" w:author="ZTE" w:date="2025-03-27T16:15:18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p>
      <w:pPr>
        <w:pStyle w:val="79"/>
      </w:pPr>
      <w:r>
        <w:t>Table 6.6.4.4-2: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tcPr>
          <w:p>
            <w:pPr>
              <w:pStyle w:val="75"/>
              <w:rPr>
                <w:rFonts w:cs="v5.0.0"/>
              </w:rPr>
            </w:pPr>
            <w:r>
              <w:rPr>
                <w:rFonts w:eastAsia="宋体" w:cs="v5.0.0"/>
              </w:rPr>
              <w:t>RAT of the carrier adjacent to the sub-block and Inter RF Bandwidth gap</w:t>
            </w:r>
            <w:r>
              <w:rPr>
                <w:rFonts w:cs="v5.0.0"/>
              </w:rPr>
              <w:t xml:space="preserve"> </w:t>
            </w:r>
          </w:p>
        </w:tc>
        <w:tc>
          <w:tcPr>
            <w:tcW w:w="382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pPr>
              <w:pStyle w:val="76"/>
              <w:rPr>
                <w:rFonts w:cs="v5.0.0"/>
              </w:rPr>
            </w:pPr>
            <w:r>
              <w:rPr>
                <w:rFonts w:cs="v5.0.0"/>
              </w:rPr>
              <w:t>E-UTRA</w:t>
            </w:r>
          </w:p>
        </w:tc>
        <w:tc>
          <w:tcPr>
            <w:tcW w:w="382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pPr>
              <w:pStyle w:val="76"/>
              <w:rPr>
                <w:rFonts w:cs="v5.0.0"/>
              </w:rPr>
            </w:pPr>
            <w:r>
              <w:rPr>
                <w:rFonts w:cs="v5.0.0"/>
              </w:rPr>
              <w:t>UTRA FDD</w:t>
            </w:r>
          </w:p>
        </w:tc>
        <w:tc>
          <w:tcPr>
            <w:tcW w:w="3825"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pPr>
              <w:pStyle w:val="76"/>
              <w:rPr>
                <w:rFonts w:cs="v5.0.0"/>
              </w:rPr>
            </w:pPr>
            <w:r>
              <w:rPr>
                <w:rFonts w:eastAsia="宋体" w:cs="Arial"/>
              </w:rPr>
              <w:t>NR</w:t>
            </w:r>
          </w:p>
        </w:tc>
        <w:tc>
          <w:tcPr>
            <w:tcW w:w="3825" w:type="dxa"/>
            <w:tcBorders>
              <w:top w:val="single" w:color="auto" w:sz="4" w:space="0"/>
              <w:left w:val="single" w:color="auto" w:sz="4" w:space="0"/>
              <w:bottom w:val="single" w:color="auto" w:sz="4" w:space="0"/>
              <w:right w:val="single" w:color="auto" w:sz="4" w:space="0"/>
            </w:tcBorders>
          </w:tcPr>
          <w:p>
            <w:pPr>
              <w:pStyle w:val="76"/>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tcBorders>
              <w:top w:val="single" w:color="auto" w:sz="4" w:space="0"/>
              <w:left w:val="single" w:color="auto" w:sz="4" w:space="0"/>
              <w:bottom w:val="single" w:color="auto" w:sz="4" w:space="0"/>
              <w:right w:val="single" w:color="auto" w:sz="4" w:space="0"/>
            </w:tcBorders>
            <w:shd w:val="clear" w:color="auto" w:fill="auto"/>
          </w:tcPr>
          <w:p>
            <w:pPr>
              <w:pStyle w:val="90"/>
              <w:rPr>
                <w:rFonts w:cs="v5.0.0"/>
              </w:rPr>
            </w:pPr>
            <w:r>
              <w:rPr>
                <w:rFonts w:cs="Arial"/>
              </w:rPr>
              <w:t>NOTE:</w:t>
            </w:r>
            <w:r>
              <w:rPr>
                <w:rFonts w:cs="Arial"/>
              </w:rPr>
              <w:tab/>
            </w:r>
            <w:r>
              <w:rPr>
                <w:rFonts w:cs="Arial"/>
              </w:rPr>
              <w:t>The RRC filter shall be equivalent to the transmit pulse shape filter defined in TS 25.104 [2], with a chip rate as defined in this table.</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43" w:name="_Toc45869081"/>
      <w:bookmarkStart w:id="44" w:name="_Toc61111887"/>
      <w:bookmarkStart w:id="45" w:name="_Toc105764964"/>
      <w:bookmarkStart w:id="46" w:name="_Toc155212261"/>
      <w:bookmarkStart w:id="47" w:name="_Toc29762743"/>
      <w:bookmarkStart w:id="48" w:name="_Toc66804642"/>
      <w:bookmarkStart w:id="49" w:name="_Toc138891765"/>
      <w:bookmarkStart w:id="50" w:name="_Toc44584788"/>
      <w:bookmarkStart w:id="51" w:name="_Toc138085269"/>
      <w:bookmarkStart w:id="52" w:name="_Toc61126130"/>
      <w:bookmarkStart w:id="53" w:name="_Toc61125969"/>
      <w:bookmarkStart w:id="54" w:name="_Toc83038753"/>
      <w:bookmarkStart w:id="55" w:name="_Toc21093214"/>
      <w:bookmarkStart w:id="56" w:name="_Toc76503080"/>
      <w:bookmarkStart w:id="57" w:name="_Toc145071554"/>
      <w:bookmarkStart w:id="58" w:name="_Toc36025918"/>
      <w:bookmarkStart w:id="59" w:name="_Toc98664962"/>
      <w:bookmarkStart w:id="60" w:name="_Toc74821216"/>
      <w:bookmarkStart w:id="61" w:name="_Toc89850877"/>
      <w:bookmarkStart w:id="62" w:name="_Toc52553640"/>
      <w:bookmarkStart w:id="63" w:name="_Toc124162680"/>
      <w:bookmarkStart w:id="64" w:name="_Toc187260662"/>
      <w:bookmarkStart w:id="65" w:name="_Toc130866047"/>
      <w:bookmarkStart w:id="66" w:name="_Toc123151164"/>
      <w:bookmarkStart w:id="67" w:name="_Toc114255448"/>
      <w:bookmarkStart w:id="68" w:name="_Toc123054330"/>
      <w:bookmarkStart w:id="69" w:name="_Toc107419228"/>
      <w:bookmarkStart w:id="70" w:name="_Toc107311644"/>
      <w:bookmarkStart w:id="71" w:name="_Toc123048942"/>
      <w:bookmarkStart w:id="72" w:name="_Toc115186128"/>
      <w:bookmarkStart w:id="73" w:name="_Toc124157007"/>
      <w:bookmarkStart w:id="74" w:name="_Toc107474855"/>
      <w:bookmarkStart w:id="75" w:name="_Toc131766301"/>
      <w:bookmarkStart w:id="76" w:name="_Toc36817186"/>
      <w:bookmarkStart w:id="77" w:name="_Toc138837523"/>
      <w:bookmarkStart w:id="78" w:name="_Toc53178132"/>
      <w:bookmarkStart w:id="79" w:name="_Toc45893405"/>
      <w:bookmarkStart w:id="80" w:name="_Toc187245455"/>
      <w:bookmarkStart w:id="81" w:name="_Toc67916575"/>
      <w:bookmarkStart w:id="82" w:name="_Toc124266411"/>
      <w:bookmarkStart w:id="83" w:name="_Toc44712092"/>
      <w:bookmarkStart w:id="84" w:name="_Toc53178583"/>
      <w:bookmarkStart w:id="85" w:name="_Toc123717431"/>
      <w:bookmarkStart w:id="86" w:name="_Toc82621713"/>
      <w:bookmarkStart w:id="87" w:name="_Toc13080138"/>
      <w:bookmarkStart w:id="88" w:name="_Toc131740767"/>
      <w:bookmarkStart w:id="89" w:name="_Toc176875950"/>
      <w:bookmarkStart w:id="90" w:name="_Toc156567344"/>
      <w:bookmarkStart w:id="91" w:name="_Toc37260102"/>
      <w:bookmarkStart w:id="92" w:name="_Toc61179279"/>
      <w:bookmarkStart w:id="93" w:name="_Toc61178809"/>
      <w:bookmarkStart w:id="94" w:name="_Toc74663173"/>
      <w:bookmarkStart w:id="95" w:name="_Toc90422560"/>
      <w:bookmarkStart w:id="96" w:name="_Toc131595769"/>
      <w:bookmarkStart w:id="97" w:name="_Toc123051861"/>
      <w:bookmarkStart w:id="98" w:name="_Toc37267490"/>
      <w:bookmarkStart w:id="99" w:name="_Toc29811634"/>
      <w:bookmarkStart w:id="100" w:name="_Toc106782753"/>
      <w:r>
        <w:t>6.6.4.6</w:t>
      </w:r>
      <w:r>
        <w:tab/>
      </w:r>
      <w:r>
        <w:t>NR 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101"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bookmarkEnd w:id="101"/>
    <w:p>
      <w:pPr>
        <w:rPr>
          <w:lang w:eastAsia="zh-CN"/>
        </w:rPr>
      </w:pPr>
      <w:bookmarkStart w:id="102" w:name="_Hlk508123095"/>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102"/>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bookmarkStart w:id="103"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宋体"/>
          <w:lang w:eastAsia="zh-CN"/>
        </w:rPr>
        <w:t xml:space="preserve"> for each </w:t>
      </w:r>
      <w:r>
        <w:rPr>
          <w:rFonts w:eastAsia="宋体"/>
          <w:i/>
          <w:iCs/>
          <w:lang w:eastAsia="zh-CN"/>
        </w:rPr>
        <w:t>antenna connector</w:t>
      </w:r>
      <w:r>
        <w:t>.</w:t>
      </w:r>
      <w:bookmarkEnd w:id="103"/>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6.6.4.6</w:t>
      </w:r>
      <w:r>
        <w:rPr>
          <w:rFonts w:cs="v5.0.0"/>
        </w:rPr>
        <w:noBreakHyphen/>
      </w:r>
      <w:r>
        <w:rPr>
          <w:rFonts w:cs="v5.0.0"/>
        </w:rPr>
        <w:t>1.</w:t>
      </w:r>
    </w:p>
    <w:p>
      <w:r>
        <w:t xml:space="preserve">For Band </w:t>
      </w:r>
      <w:r>
        <w:rPr>
          <w:rFonts w:hint="eastAsia"/>
          <w:lang w:eastAsia="zh-CN"/>
        </w:rPr>
        <w:t>41</w:t>
      </w:r>
      <w:r>
        <w:t xml:space="preserve"> NR operation in Japan</w:t>
      </w:r>
      <w:r>
        <w:rPr>
          <w:rFonts w:cs="v5.0.0"/>
        </w:rPr>
        <w:t xml:space="preserve">, absolute ACLR limits shall be applied to the sum of the absolute ACLR power over all </w:t>
      </w:r>
      <w:r>
        <w:rPr>
          <w:rFonts w:cs="v5.0.0"/>
          <w:i/>
          <w:iCs/>
        </w:rPr>
        <w:t>antenna connectors</w:t>
      </w:r>
      <w:r>
        <w:rPr>
          <w:rFonts w:cs="v5.0.0"/>
        </w:rPr>
        <w:t>.</w:t>
      </w:r>
    </w:p>
    <w:p>
      <w:pPr>
        <w:pStyle w:val="79"/>
        <w:rPr>
          <w:rFonts w:eastAsia="宋体"/>
          <w:lang w:eastAsia="zh-CN"/>
        </w:rPr>
      </w:pPr>
      <w:r>
        <w:t>Table 6.6.4.6-1: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6" w:space="0"/>
              <w:bottom w:val="single" w:color="auto" w:sz="6" w:space="0"/>
              <w:right w:val="single" w:color="auto" w:sz="6" w:space="0"/>
            </w:tcBorders>
          </w:tcPr>
          <w:p>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4" w:space="0"/>
              <w:left w:val="single" w:color="auto" w:sz="6" w:space="0"/>
              <w:bottom w:val="single" w:color="auto" w:sz="6" w:space="0"/>
              <w:right w:val="single" w:color="auto" w:sz="6" w:space="0"/>
            </w:tcBorders>
          </w:tcPr>
          <w:p>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4" w:space="0"/>
              <w:left w:val="single" w:color="auto" w:sz="6" w:space="0"/>
              <w:bottom w:val="single" w:color="auto" w:sz="6" w:space="0"/>
              <w:right w:val="single" w:color="auto" w:sz="6" w:space="0"/>
            </w:tcBorders>
          </w:tcPr>
          <w:p>
            <w:pPr>
              <w:pStyle w:val="75"/>
              <w:rPr>
                <w:rFonts w:cs="v5.0.0"/>
              </w:rPr>
            </w:pPr>
            <w:r>
              <w:rPr>
                <w:rFonts w:cs="v5.0.0"/>
              </w:rPr>
              <w:t>Assumed adjacent channel carrier (informative)</w:t>
            </w:r>
          </w:p>
        </w:tc>
        <w:tc>
          <w:tcPr>
            <w:tcW w:w="2059" w:type="dxa"/>
            <w:tcBorders>
              <w:top w:val="single" w:color="auto" w:sz="4" w:space="0"/>
              <w:left w:val="single" w:color="auto" w:sz="6" w:space="0"/>
              <w:bottom w:val="single" w:color="auto" w:sz="6" w:space="0"/>
              <w:right w:val="single" w:color="auto" w:sz="6" w:space="0"/>
            </w:tcBorders>
          </w:tcPr>
          <w:p>
            <w:pPr>
              <w:pStyle w:val="75"/>
              <w:rPr>
                <w:rFonts w:cs="v5.0.0"/>
              </w:rPr>
            </w:pPr>
            <w:r>
              <w:rPr>
                <w:rFonts w:cs="v5.0.0"/>
              </w:rPr>
              <w:t>Filter on the adjacent channel frequency and corresponding filter bandwidth</w:t>
            </w:r>
          </w:p>
        </w:tc>
        <w:tc>
          <w:tcPr>
            <w:tcW w:w="1032" w:type="dxa"/>
            <w:tcBorders>
              <w:top w:val="single" w:color="auto" w:sz="4" w:space="0"/>
              <w:left w:val="single" w:color="auto" w:sz="6" w:space="0"/>
              <w:bottom w:val="single" w:color="auto" w:sz="6" w:space="0"/>
              <w:right w:val="single" w:color="auto" w:sz="6" w:space="0"/>
            </w:tcBorders>
          </w:tcPr>
          <w:p>
            <w:pPr>
              <w:pStyle w:val="75"/>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cs="v5.0.0"/>
                <w:lang w:eastAsia="en-GB"/>
              </w:rPr>
              <w:t xml:space="preserve">5, </w:t>
            </w:r>
            <w:ins w:id="4" w:author="ZTE" w:date="2025-03-17T09:11:04Z">
              <w:r>
                <w:rPr>
                  <w:rFonts w:hint="eastAsia" w:cs="v5.0.0"/>
                  <w:lang w:val="en-US" w:eastAsia="zh-CN"/>
                </w:rPr>
                <w:t xml:space="preserve">7, </w:t>
              </w:r>
            </w:ins>
            <w:r>
              <w:rPr>
                <w:rFonts w:cs="v5.0.0"/>
                <w:lang w:eastAsia="en-GB"/>
              </w:rPr>
              <w:t>10, 15, 20</w:t>
            </w:r>
            <w:r>
              <w:rPr>
                <w:rFonts w:eastAsia="宋体" w:cs="v5.0.0"/>
                <w:lang w:eastAsia="zh-CN"/>
              </w:rPr>
              <w:t>, 25, 30, 35, 40, 45, 50, 60, 70, 80, 90,100</w:t>
            </w:r>
          </w:p>
        </w:tc>
        <w:tc>
          <w:tcPr>
            <w:tcW w:w="2191" w:type="dxa"/>
            <w:tcBorders>
              <w:top w:val="single" w:color="auto" w:sz="6" w:space="0"/>
              <w:left w:val="single" w:color="auto" w:sz="6" w:space="0"/>
              <w:bottom w:val="single" w:color="auto" w:sz="6" w:space="0"/>
              <w:right w:val="single" w:color="auto" w:sz="6" w:space="0"/>
            </w:tcBorders>
          </w:tcPr>
          <w:p>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The ACLR absolute limit is specified in table 6.6.4.6</w:t>
      </w:r>
      <w:r>
        <w:rPr>
          <w:rFonts w:cs="v5.0.0"/>
        </w:rPr>
        <w:noBreakHyphen/>
      </w:r>
      <w:r>
        <w:rPr>
          <w:rFonts w:cs="v5.0.0"/>
        </w:rPr>
        <w:t>2.</w:t>
      </w:r>
    </w:p>
    <w:p>
      <w:pPr>
        <w:pStyle w:val="79"/>
        <w:rPr>
          <w:rFonts w:eastAsia="宋体"/>
          <w:lang w:eastAsia="zh-CN"/>
        </w:rPr>
      </w:pPr>
      <w:r>
        <w:t>Table 6.6.4.6-2: Base station ACLR absolute limit</w:t>
      </w:r>
    </w:p>
    <w:tbl>
      <w:tblPr>
        <w:tblStyle w:val="59"/>
        <w:tblW w:w="6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1"/>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pPr>
              <w:pStyle w:val="75"/>
              <w:rPr>
                <w:rFonts w:cs="v5.0.0"/>
              </w:rPr>
            </w:pPr>
            <w:r>
              <w:rPr>
                <w:rFonts w:eastAsia="宋体" w:cs="v5.0.0"/>
              </w:rPr>
              <w:t>BS category / BS class</w:t>
            </w:r>
          </w:p>
        </w:tc>
        <w:tc>
          <w:tcPr>
            <w:tcW w:w="3361" w:type="dxa"/>
          </w:tcPr>
          <w:p>
            <w:pPr>
              <w:pStyle w:val="75"/>
              <w:rPr>
                <w:rFonts w:cs="v5.0.0"/>
              </w:rPr>
            </w:pPr>
            <w:r>
              <w:rPr>
                <w:rFonts w:cs="v5.0.0"/>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pPr>
              <w:pStyle w:val="76"/>
              <w:rPr>
                <w:rFonts w:eastAsia="宋体" w:cs="v5.0.0"/>
                <w:lang w:eastAsia="zh-CN"/>
              </w:rPr>
            </w:pPr>
            <w:r>
              <w:rPr>
                <w:rFonts w:cs="v5.0.0"/>
              </w:rPr>
              <w:t>Category A Wide Area BS</w:t>
            </w:r>
          </w:p>
        </w:tc>
        <w:tc>
          <w:tcPr>
            <w:tcW w:w="3361" w:type="dxa"/>
          </w:tcPr>
          <w:p>
            <w:pPr>
              <w:pStyle w:val="76"/>
              <w:rPr>
                <w:rFonts w:cs="v5.0.0"/>
              </w:rPr>
            </w:pPr>
            <w:r>
              <w:rPr>
                <w:rFonts w:cs="v5.0.0"/>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Category B Wide Area BS</w:t>
            </w:r>
          </w:p>
        </w:tc>
        <w:tc>
          <w:tcPr>
            <w:tcW w:w="3361" w:type="dxa"/>
          </w:tcPr>
          <w:p>
            <w:pPr>
              <w:pStyle w:val="76"/>
              <w:rPr>
                <w:rFonts w:cs="v5.0.0"/>
                <w:lang w:eastAsia="ja-JP"/>
              </w:rPr>
            </w:pPr>
            <w:r>
              <w:rPr>
                <w:rFonts w:cs="v5.0.0"/>
                <w:lang w:eastAsia="ja-JP"/>
              </w:rPr>
              <w:t>-15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pPr>
              <w:pStyle w:val="76"/>
              <w:rPr>
                <w:rFonts w:cs="v5.0.0"/>
              </w:rPr>
            </w:pPr>
            <w:r>
              <w:rPr>
                <w:rFonts w:cs="v5.0.0"/>
              </w:rPr>
              <w:t>Medium Range BS</w:t>
            </w:r>
          </w:p>
        </w:tc>
        <w:tc>
          <w:tcPr>
            <w:tcW w:w="3361" w:type="dxa"/>
          </w:tcPr>
          <w:p>
            <w:pPr>
              <w:pStyle w:val="76"/>
              <w:rPr>
                <w:rFonts w:cs="v5.0.0"/>
                <w:lang w:eastAsia="ja-JP"/>
              </w:rPr>
            </w:pPr>
            <w:r>
              <w:rPr>
                <w:rFonts w:cs="v5.0.0"/>
                <w:lang w:eastAsia="ja-JP"/>
              </w:rPr>
              <w:t>-25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Local Area BS</w:t>
            </w:r>
          </w:p>
        </w:tc>
        <w:tc>
          <w:tcPr>
            <w:tcW w:w="3361" w:type="dxa"/>
          </w:tcPr>
          <w:p>
            <w:pPr>
              <w:pStyle w:val="76"/>
              <w:rPr>
                <w:rFonts w:cs="v5.0.0"/>
                <w:lang w:eastAsia="ja-JP"/>
              </w:rPr>
            </w:pPr>
            <w:r>
              <w:rPr>
                <w:rFonts w:cs="v5.0.0"/>
                <w:lang w:eastAsia="ja-JP"/>
              </w:rPr>
              <w:t>-32 dBm/MHz</w:t>
            </w:r>
          </w:p>
        </w:tc>
      </w:tr>
    </w:tbl>
    <w:p/>
    <w:p>
      <w:pPr>
        <w:rPr>
          <w:rFonts w:cs="v5.0.0"/>
        </w:rPr>
      </w:pPr>
      <w:r>
        <w:rPr>
          <w:rFonts w:cs="v5.0.0"/>
        </w:rPr>
        <w:t>For operation in non-contiguous spectrum or multiple bands, the ACLR shall be higher than the value specified in Table 6.6.4.6</w:t>
      </w:r>
      <w:r>
        <w:rPr>
          <w:rFonts w:cs="v5.0.0"/>
        </w:rPr>
        <w:noBreakHyphen/>
      </w:r>
      <w:r>
        <w:rPr>
          <w:rFonts w:cs="v5.0.0"/>
        </w:rPr>
        <w:t>2a.</w:t>
      </w:r>
    </w:p>
    <w:p>
      <w:pPr>
        <w:pStyle w:val="79"/>
      </w:pPr>
      <w:r>
        <w:t>Table 6.6.4.6-2a: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3"/>
        <w:gridCol w:w="1722"/>
        <w:gridCol w:w="2136"/>
        <w:gridCol w:w="1240"/>
        <w:gridCol w:w="2006"/>
        <w:gridCol w:w="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6" w:space="0"/>
              <w:bottom w:val="single" w:color="auto" w:sz="6" w:space="0"/>
              <w:right w:val="single" w:color="auto" w:sz="6" w:space="0"/>
            </w:tcBorders>
          </w:tcPr>
          <w:p>
            <w:pPr>
              <w:pStyle w:val="75"/>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4" w:space="0"/>
              <w:left w:val="single" w:color="auto" w:sz="6" w:space="0"/>
              <w:bottom w:val="single" w:color="auto" w:sz="6" w:space="0"/>
              <w:right w:val="single" w:color="auto" w:sz="6" w:space="0"/>
            </w:tcBorders>
          </w:tcPr>
          <w:p>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4" w:space="0"/>
              <w:left w:val="single" w:color="auto" w:sz="6" w:space="0"/>
              <w:bottom w:val="single" w:color="auto" w:sz="6" w:space="0"/>
              <w:right w:val="single" w:color="auto" w:sz="6" w:space="0"/>
            </w:tcBorders>
          </w:tcPr>
          <w:p>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4" w:space="0"/>
              <w:left w:val="single" w:color="auto" w:sz="6" w:space="0"/>
              <w:bottom w:val="single" w:color="auto" w:sz="6" w:space="0"/>
              <w:right w:val="single" w:color="auto" w:sz="6" w:space="0"/>
            </w:tcBorders>
          </w:tcPr>
          <w:p>
            <w:pPr>
              <w:pStyle w:val="75"/>
              <w:rPr>
                <w:lang w:eastAsia="zh-CN"/>
              </w:rPr>
            </w:pPr>
            <w:r>
              <w:rPr>
                <w:lang w:eastAsia="zh-CN"/>
              </w:rPr>
              <w:t>Assumed adjacent channel carrier</w:t>
            </w:r>
          </w:p>
        </w:tc>
        <w:tc>
          <w:tcPr>
            <w:tcW w:w="0" w:type="auto"/>
            <w:tcBorders>
              <w:top w:val="single" w:color="auto" w:sz="4" w:space="0"/>
              <w:left w:val="single" w:color="auto" w:sz="6" w:space="0"/>
              <w:bottom w:val="single" w:color="auto" w:sz="6" w:space="0"/>
              <w:right w:val="single" w:color="auto" w:sz="6" w:space="0"/>
            </w:tcBorders>
          </w:tcPr>
          <w:p>
            <w:pPr>
              <w:pStyle w:val="75"/>
              <w:rPr>
                <w:lang w:eastAsia="zh-CN"/>
              </w:rPr>
            </w:pPr>
            <w:r>
              <w:rPr>
                <w:lang w:eastAsia="zh-CN"/>
              </w:rPr>
              <w:t>Filter on the adjacent channel frequency and corresponding filter bandwidth</w:t>
            </w:r>
          </w:p>
        </w:tc>
        <w:tc>
          <w:tcPr>
            <w:tcW w:w="0" w:type="auto"/>
            <w:tcBorders>
              <w:top w:val="single" w:color="auto" w:sz="4" w:space="0"/>
              <w:left w:val="single" w:color="auto" w:sz="6" w:space="0"/>
              <w:bottom w:val="single" w:color="auto" w:sz="6" w:space="0"/>
              <w:right w:val="single" w:color="auto" w:sz="6" w:space="0"/>
            </w:tcBorders>
          </w:tcPr>
          <w:p>
            <w:pPr>
              <w:pStyle w:val="7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76"/>
              <w:rPr>
                <w:rFonts w:eastAsia="宋体"/>
                <w:lang w:eastAsia="zh-CN"/>
              </w:rPr>
            </w:pPr>
            <w:r>
              <w:rPr>
                <w:lang w:eastAsia="zh-CN"/>
              </w:rPr>
              <w:t xml:space="preserve">5, </w:t>
            </w:r>
            <w:ins w:id="5" w:author="ZTE" w:date="2025-03-17T09:11:26Z">
              <w:r>
                <w:rPr>
                  <w:rFonts w:hint="eastAsia"/>
                  <w:lang w:val="en-US" w:eastAsia="zh-CN"/>
                </w:rPr>
                <w:t xml:space="preserve">7, </w:t>
              </w:r>
            </w:ins>
            <w:r>
              <w:rPr>
                <w:lang w:eastAsia="zh-CN"/>
              </w:rPr>
              <w:t>10, 15, 20</w:t>
            </w:r>
          </w:p>
        </w:tc>
        <w:tc>
          <w:tcPr>
            <w:tcW w:w="0" w:type="auto"/>
            <w:tcBorders>
              <w:top w:val="single" w:color="auto" w:sz="6" w:space="0"/>
              <w:left w:val="single" w:color="auto" w:sz="6"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76"/>
              <w:rPr>
                <w:rFonts w:eastAsia="宋体"/>
                <w:lang w:eastAsia="zh-CN"/>
              </w:rPr>
            </w:pPr>
            <w:r>
              <w:rPr>
                <w:rFonts w:eastAsia="宋体"/>
                <w:lang w:eastAsia="zh-CN"/>
              </w:rPr>
              <w:t>25, 30, 35, 40, 45, 50, 60, 70, 80, 90, 100</w:t>
            </w:r>
          </w:p>
        </w:tc>
        <w:tc>
          <w:tcPr>
            <w:tcW w:w="0" w:type="auto"/>
            <w:tcBorders>
              <w:top w:val="single" w:color="auto" w:sz="6" w:space="0"/>
              <w:left w:val="single" w:color="auto" w:sz="6" w:space="0"/>
              <w:bottom w:val="single" w:color="auto" w:sz="6" w:space="0"/>
              <w:right w:val="single" w:color="auto" w:sz="6" w:space="0"/>
            </w:tcBorders>
          </w:tcPr>
          <w:p>
            <w:pPr>
              <w:pStyle w:val="76"/>
              <w:rPr>
                <w:rFonts w:cs="Arial"/>
                <w:lang w:eastAsia="zh-CN"/>
              </w:rPr>
            </w:pPr>
            <w:r>
              <w:rPr>
                <w:rFonts w:cs="Arial"/>
                <w:lang w:eastAsia="zh-CN"/>
              </w:rPr>
              <w:t>Wgap ≥ 60 (Note 4)</w:t>
            </w:r>
          </w:p>
          <w:p>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76"/>
              <w:rPr>
                <w:rFonts w:cs="Arial"/>
                <w:lang w:eastAsia="zh-CN"/>
              </w:rPr>
            </w:pPr>
            <w:r>
              <w:rPr>
                <w:rFonts w:cs="Arial"/>
                <w:lang w:eastAsia="zh-CN"/>
              </w:rPr>
              <w:t>Wgap ≥ 80 (Note 4)</w:t>
            </w:r>
          </w:p>
          <w:p>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6" w:author="ZTE" w:date="2025-03-27T14:46:22Z">
              <w:r>
                <w:rPr>
                  <w:rFonts w:hint="eastAsia" w:eastAsia="宋体"/>
                  <w:lang w:val="en-US" w:eastAsia="zh-CN"/>
                </w:rPr>
                <w:t>7</w:t>
              </w:r>
            </w:ins>
            <w:ins w:id="7" w:author="ZTE" w:date="2025-03-27T14:46:29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GB"/>
              </w:rPr>
              <w:t>channel bandwidth</w:t>
            </w:r>
            <w:r>
              <w:rPr>
                <w:rFonts w:cs="Arial"/>
                <w:lang w:eastAsia="en-GB"/>
              </w:rPr>
              <w:t xml:space="preserve"> </w:t>
            </w:r>
            <w:r>
              <w:rPr>
                <w:rFonts w:eastAsia="宋体"/>
                <w:lang w:eastAsia="zh-CN"/>
              </w:rPr>
              <w:t>of the NR carrier transmitted at the other edge of the gap is 25, 30, 35, 40, 45, 50, 60, 70, 80, 90, 100 MHz..</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04" w:name="_Toc74821241"/>
      <w:bookmarkStart w:id="105" w:name="_Toc36025943"/>
      <w:bookmarkStart w:id="106" w:name="_Toc187260687"/>
      <w:bookmarkStart w:id="107" w:name="_Toc124162705"/>
      <w:bookmarkStart w:id="108" w:name="_Toc89850902"/>
      <w:bookmarkStart w:id="109" w:name="_Toc29762768"/>
      <w:bookmarkStart w:id="110" w:name="_Toc123151189"/>
      <w:bookmarkStart w:id="111" w:name="_Toc66804667"/>
      <w:bookmarkStart w:id="112" w:name="_Toc138085294"/>
      <w:bookmarkStart w:id="113" w:name="_Toc52553665"/>
      <w:bookmarkStart w:id="114" w:name="_Toc61111912"/>
      <w:bookmarkStart w:id="115" w:name="_Toc44584813"/>
      <w:bookmarkStart w:id="116" w:name="_Toc76503105"/>
      <w:bookmarkStart w:id="117" w:name="_Toc61126155"/>
      <w:bookmarkStart w:id="118" w:name="_Toc130866072"/>
      <w:bookmarkStart w:id="119" w:name="_Toc138891790"/>
      <w:bookmarkStart w:id="120" w:name="_Toc21093239"/>
      <w:bookmarkStart w:id="121" w:name="_Toc61125994"/>
      <w:bookmarkStart w:id="122" w:name="_Toc98664987"/>
      <w:bookmarkStart w:id="123" w:name="_Toc155212286"/>
      <w:bookmarkStart w:id="124" w:name="_Toc145071579"/>
      <w:bookmarkStart w:id="125" w:name="_Toc45869106"/>
      <w:bookmarkStart w:id="126" w:name="_Toc83038778"/>
      <w:bookmarkStart w:id="127" w:name="_Toc105764989"/>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4"/>
      </w:pPr>
      <w:r>
        <w:t>7.4.2</w:t>
      </w:r>
      <w:r>
        <w:tab/>
      </w:r>
      <w:r>
        <w:t>General narrowband blocking minimum requirement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For the general narrowband blocking requirement, the interfering signal shall be an E-UTRA 1RB signal as specified in Annex A.</w:t>
      </w:r>
    </w:p>
    <w:p>
      <w:r>
        <w:t>The requirement is applicable outside the Base Station RF Bandwidth or Radio Bandwidth. The interfering signal offset is defined relative to the Base Station RF Bandwidth edges or Radio Bandwidth edges.</w:t>
      </w:r>
    </w:p>
    <w:p>
      <w:r>
        <w:t>For BS operating in non-contiguous spectrum, the requirement applies in addition inside any sub-block gap, in case the sub-block gap size is at least 3 MHz. The interfering signal offset is defined relative to the sub-block edges inside the sub-block gap.</w:t>
      </w:r>
    </w:p>
    <w:p>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
        <w:t>For the wanted and interfering signal coupled to the base station antenna input, using the parameters in Table 7.4.2</w:t>
      </w:r>
      <w:r>
        <w:noBreakHyphen/>
      </w:r>
      <w:r>
        <w:t>1, the following requirements shall be met:</w:t>
      </w:r>
    </w:p>
    <w:p>
      <w:pPr>
        <w:pStyle w:val="99"/>
      </w:pPr>
      <w:r>
        <w:t>-</w:t>
      </w:r>
      <w:r>
        <w:tab/>
      </w:r>
      <w:r>
        <w:t>For any E-UTRA carrier, the throughput shall be ≥ 95% of the maximum throughput of the reference measurement channel defined in TS 36.104 [4], subclause 7.2.</w:t>
      </w:r>
    </w:p>
    <w:p>
      <w:pPr>
        <w:pStyle w:val="99"/>
      </w:pPr>
      <w:r>
        <w:t>-</w:t>
      </w:r>
      <w:r>
        <w:tab/>
      </w:r>
      <w:r>
        <w:t>For any UTRA FDD carrier, the BER shall not exceed 0.001 for the reference measurement channel defined in TS 25.104 [2], subclause 7.2.</w:t>
      </w:r>
    </w:p>
    <w:p>
      <w:pPr>
        <w:pStyle w:val="99"/>
      </w:pPr>
      <w:r>
        <w:t>-</w:t>
      </w:r>
      <w:r>
        <w:tab/>
      </w:r>
      <w:r>
        <w:t xml:space="preserve">For any UTRA </w:t>
      </w:r>
      <w:r>
        <w:rPr>
          <w:lang w:eastAsia="zh-CN"/>
        </w:rPr>
        <w:t xml:space="preserve">TDD </w:t>
      </w:r>
      <w:r>
        <w:t>carrier, the BER shall not exceed 0.001 for the reference measurement channel defined in TS 25.105 [3], subclause 7.2.</w:t>
      </w:r>
    </w:p>
    <w:p>
      <w:pPr>
        <w:pStyle w:val="99"/>
      </w:pPr>
      <w:r>
        <w:t>-</w:t>
      </w:r>
      <w:r>
        <w:tab/>
      </w:r>
      <w:r>
        <w:t>For any GSM/EDGE carrier, the conditions are specified in TS 45.005 [5], Annex P.2.1.</w:t>
      </w:r>
    </w:p>
    <w:p>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99"/>
      </w:pPr>
      <w:r>
        <w:t>-</w:t>
      </w:r>
      <w:r>
        <w:tab/>
      </w:r>
      <w:r>
        <w:t>For any NR carrier, the throughput shall be ≥ 95% of the maximum throughput of the reference measurement channel defined in TS 38.104 [17], subclause 7.2.</w:t>
      </w:r>
    </w:p>
    <w:p>
      <w:pPr>
        <w:pStyle w:val="79"/>
      </w:pPr>
      <w:r>
        <w:t>Table 7.4.2-1: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pPr>
              <w:pStyle w:val="75"/>
              <w:rPr>
                <w:rFonts w:cs="Arial"/>
              </w:rPr>
            </w:pPr>
            <w:r>
              <w:rPr>
                <w:rFonts w:cs="Arial"/>
              </w:rPr>
              <w:t>Base Station Type</w:t>
            </w:r>
          </w:p>
        </w:tc>
        <w:tc>
          <w:tcPr>
            <w:tcW w:w="1496" w:type="dxa"/>
            <w:shd w:val="clear" w:color="auto" w:fill="auto"/>
          </w:tcPr>
          <w:p>
            <w:pPr>
              <w:pStyle w:val="75"/>
              <w:rPr>
                <w:rFonts w:cs="Arial"/>
              </w:rPr>
            </w:pPr>
            <w:r>
              <w:rPr>
                <w:rFonts w:cs="Arial"/>
              </w:rPr>
              <w:t>RAT of the carrier</w:t>
            </w:r>
          </w:p>
        </w:tc>
        <w:tc>
          <w:tcPr>
            <w:tcW w:w="2693" w:type="dxa"/>
            <w:shd w:val="clear" w:color="auto" w:fill="auto"/>
          </w:tcPr>
          <w:p>
            <w:pPr>
              <w:pStyle w:val="75"/>
              <w:rPr>
                <w:rFonts w:cs="Arial"/>
              </w:rPr>
            </w:pPr>
            <w:r>
              <w:rPr>
                <w:rFonts w:cs="Arial"/>
              </w:rPr>
              <w:t>Wanted signal mean power [dBm]</w:t>
            </w:r>
          </w:p>
          <w:p>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7</w:t>
            </w:r>
            <w:r>
              <w:rPr>
                <w:rFonts w:cs="Arial"/>
              </w:rPr>
              <w:t>)</w:t>
            </w:r>
          </w:p>
        </w:tc>
        <w:tc>
          <w:tcPr>
            <w:tcW w:w="1701" w:type="dxa"/>
            <w:shd w:val="clear" w:color="auto" w:fill="auto"/>
          </w:tcPr>
          <w:p>
            <w:pPr>
              <w:pStyle w:val="75"/>
              <w:rPr>
                <w:rFonts w:cs="Arial"/>
              </w:rPr>
            </w:pPr>
            <w:r>
              <w:rPr>
                <w:rFonts w:cs="Arial"/>
              </w:rPr>
              <w:t>Interfering signal mean power [dBm]</w:t>
            </w:r>
          </w:p>
        </w:tc>
        <w:tc>
          <w:tcPr>
            <w:tcW w:w="2021" w:type="dxa"/>
            <w:shd w:val="clear" w:color="auto" w:fill="auto"/>
          </w:tcPr>
          <w:p>
            <w:pPr>
              <w:pStyle w:val="75"/>
              <w:rPr>
                <w:rFonts w:cs="Arial"/>
              </w:rPr>
            </w:pPr>
            <w:r>
              <w:rPr>
                <w:rFonts w:cs="Arial"/>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pPr>
              <w:pStyle w:val="76"/>
              <w:rPr>
                <w:rFonts w:cs="Arial"/>
              </w:rPr>
            </w:pPr>
            <w:r>
              <w:rPr>
                <w:rFonts w:cs="Arial"/>
              </w:rPr>
              <w:t>Wide Area BS</w:t>
            </w:r>
          </w:p>
        </w:tc>
        <w:tc>
          <w:tcPr>
            <w:tcW w:w="1496" w:type="dxa"/>
            <w:vMerge w:val="restart"/>
            <w:shd w:val="clear" w:color="auto" w:fill="auto"/>
            <w:vAlign w:val="center"/>
          </w:tcPr>
          <w:p>
            <w:pPr>
              <w:pStyle w:val="76"/>
              <w:rPr>
                <w:rFonts w:cs="Arial"/>
              </w:rPr>
            </w:pPr>
            <w:r>
              <w:rPr>
                <w:rFonts w:cs="Arial"/>
              </w:rPr>
              <w:t xml:space="preserve">NR, E-UTRA, </w:t>
            </w:r>
            <w:r>
              <w:rPr>
                <w:rFonts w:cs="Arial"/>
                <w:lang w:eastAsia="zh-CN"/>
              </w:rPr>
              <w:t>NB-</w:t>
            </w:r>
            <w:r>
              <w:rPr>
                <w:rFonts w:cs="Arial"/>
              </w:rPr>
              <w:t>IoT (Note 4)</w:t>
            </w:r>
            <w:r>
              <w:rPr>
                <w:rFonts w:cs="Arial"/>
              </w:rPr>
              <w:br w:type="textWrapping"/>
            </w:r>
            <w:r>
              <w:rPr>
                <w:rFonts w:cs="Arial"/>
              </w:rPr>
              <w:t>UTRA and GSM/EDGE</w:t>
            </w:r>
          </w:p>
        </w:tc>
        <w:tc>
          <w:tcPr>
            <w:tcW w:w="2693" w:type="dxa"/>
            <w:vMerge w:val="restart"/>
            <w:shd w:val="clear" w:color="auto" w:fill="auto"/>
            <w:vAlign w:val="center"/>
          </w:tcPr>
          <w:p>
            <w:pPr>
              <w:pStyle w:val="76"/>
              <w:rPr>
                <w:rFonts w:cs="Arial"/>
              </w:rPr>
            </w:pPr>
            <w:r>
              <w:rPr>
                <w:rFonts w:cs="Arial"/>
              </w:rPr>
              <w:t>P</w:t>
            </w:r>
            <w:r>
              <w:rPr>
                <w:rFonts w:cs="Arial"/>
                <w:vertAlign w:val="subscript"/>
              </w:rPr>
              <w:t>REFSENS</w:t>
            </w:r>
            <w:r>
              <w:rPr>
                <w:rFonts w:cs="Arial"/>
              </w:rPr>
              <w:t xml:space="preserve"> + x dB</w:t>
            </w:r>
          </w:p>
        </w:tc>
        <w:tc>
          <w:tcPr>
            <w:tcW w:w="1701" w:type="dxa"/>
            <w:shd w:val="clear" w:color="auto" w:fill="auto"/>
            <w:vAlign w:val="center"/>
          </w:tcPr>
          <w:p>
            <w:pPr>
              <w:pStyle w:val="76"/>
              <w:rPr>
                <w:rFonts w:cs="Arial"/>
              </w:rPr>
            </w:pPr>
            <w:r>
              <w:rPr>
                <w:rFonts w:cs="Arial"/>
              </w:rPr>
              <w:t>-49</w:t>
            </w:r>
          </w:p>
        </w:tc>
        <w:tc>
          <w:tcPr>
            <w:tcW w:w="2021" w:type="dxa"/>
            <w:vMerge w:val="restart"/>
            <w:shd w:val="clear" w:color="auto" w:fill="auto"/>
            <w:vAlign w:val="center"/>
          </w:tcPr>
          <w:p>
            <w:pPr>
              <w:pStyle w:val="76"/>
              <w:rPr>
                <w:rFonts w:cs="Arial"/>
                <w:lang w:eastAsia="en-GB"/>
              </w:rPr>
            </w:pPr>
            <w:r>
              <w:rPr>
                <w:rFonts w:cs="Arial"/>
                <w:lang w:eastAsia="en-GB"/>
              </w:rPr>
              <w:t>±(240 +m*180),</w:t>
            </w:r>
          </w:p>
          <w:p>
            <w:pPr>
              <w:pStyle w:val="76"/>
              <w:rPr>
                <w:rFonts w:cs="Arial"/>
                <w:lang w:eastAsia="en-GB"/>
              </w:rPr>
            </w:pPr>
            <w:r>
              <w:rPr>
                <w:rFonts w:cs="Arial"/>
                <w:lang w:eastAsia="en-GB"/>
              </w:rPr>
              <w:t>m=0, 1, 2, 3, 4, 9, 14</w:t>
            </w:r>
          </w:p>
          <w:p>
            <w:pPr>
              <w:pStyle w:val="76"/>
              <w:rPr>
                <w:rFonts w:cs="Arial"/>
                <w:lang w:eastAsia="en-GB"/>
              </w:rPr>
            </w:pPr>
            <w:r>
              <w:rPr>
                <w:rFonts w:cs="Arial"/>
                <w:lang w:eastAsia="en-GB"/>
              </w:rPr>
              <w:t>(Note 5)</w:t>
            </w:r>
          </w:p>
          <w:p>
            <w:pPr>
              <w:pStyle w:val="76"/>
              <w:rPr>
                <w:rFonts w:cs="Arial"/>
                <w:lang w:eastAsia="en-GB"/>
              </w:rPr>
            </w:pPr>
            <w:r>
              <w:rPr>
                <w:rFonts w:cs="Arial"/>
                <w:lang w:eastAsia="en-GB"/>
              </w:rPr>
              <w:t>±(550 +m*180),</w:t>
            </w:r>
          </w:p>
          <w:p>
            <w:pPr>
              <w:pStyle w:val="76"/>
              <w:rPr>
                <w:rFonts w:cs="Arial"/>
              </w:rPr>
            </w:pPr>
            <w:r>
              <w:rPr>
                <w:rFonts w:cs="Arial"/>
                <w:lang w:eastAsia="en-GB"/>
              </w:rPr>
              <w:t>m=</w:t>
            </w:r>
            <w:r>
              <w:rPr>
                <w:lang w:val="en-US" w:eastAsia="en-GB"/>
              </w:rPr>
              <w:t>0, 1, 2, 3, 4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pPr>
              <w:pStyle w:val="76"/>
              <w:rPr>
                <w:rFonts w:cs="Arial"/>
              </w:rPr>
            </w:pPr>
            <w:r>
              <w:rPr>
                <w:rFonts w:cs="Arial"/>
              </w:rPr>
              <w:t>Medium Range BS</w:t>
            </w:r>
          </w:p>
        </w:tc>
        <w:tc>
          <w:tcPr>
            <w:tcW w:w="1496" w:type="dxa"/>
            <w:vMerge w:val="continue"/>
            <w:shd w:val="clear" w:color="auto" w:fill="auto"/>
            <w:vAlign w:val="center"/>
          </w:tcPr>
          <w:p>
            <w:pPr>
              <w:pStyle w:val="76"/>
              <w:rPr>
                <w:rFonts w:cs="Arial"/>
              </w:rPr>
            </w:pPr>
          </w:p>
        </w:tc>
        <w:tc>
          <w:tcPr>
            <w:tcW w:w="2693" w:type="dxa"/>
            <w:vMerge w:val="continue"/>
            <w:shd w:val="clear" w:color="auto" w:fill="auto"/>
            <w:vAlign w:val="center"/>
          </w:tcPr>
          <w:p>
            <w:pPr>
              <w:pStyle w:val="76"/>
              <w:rPr>
                <w:rFonts w:cs="Arial"/>
              </w:rPr>
            </w:pPr>
          </w:p>
        </w:tc>
        <w:tc>
          <w:tcPr>
            <w:tcW w:w="1701" w:type="dxa"/>
            <w:shd w:val="clear" w:color="auto" w:fill="auto"/>
            <w:vAlign w:val="center"/>
          </w:tcPr>
          <w:p>
            <w:pPr>
              <w:pStyle w:val="76"/>
              <w:rPr>
                <w:rFonts w:cs="Arial"/>
              </w:rPr>
            </w:pPr>
            <w:r>
              <w:rPr>
                <w:rFonts w:cs="Arial"/>
              </w:rPr>
              <w:t>-44</w:t>
            </w:r>
          </w:p>
        </w:tc>
        <w:tc>
          <w:tcPr>
            <w:tcW w:w="2021" w:type="dxa"/>
            <w:vMerge w:val="continue"/>
            <w:shd w:val="clear" w:color="auto" w:fill="auto"/>
            <w:vAlign w:val="center"/>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pPr>
              <w:pStyle w:val="76"/>
              <w:rPr>
                <w:rFonts w:cs="Arial"/>
              </w:rPr>
            </w:pPr>
            <w:r>
              <w:rPr>
                <w:rFonts w:cs="Arial"/>
              </w:rPr>
              <w:t>Local Area BS</w:t>
            </w:r>
          </w:p>
        </w:tc>
        <w:tc>
          <w:tcPr>
            <w:tcW w:w="1496" w:type="dxa"/>
            <w:vMerge w:val="continue"/>
            <w:shd w:val="clear" w:color="auto" w:fill="auto"/>
            <w:vAlign w:val="center"/>
          </w:tcPr>
          <w:p>
            <w:pPr>
              <w:pStyle w:val="76"/>
              <w:rPr>
                <w:rFonts w:cs="Arial"/>
              </w:rPr>
            </w:pPr>
          </w:p>
        </w:tc>
        <w:tc>
          <w:tcPr>
            <w:tcW w:w="2693" w:type="dxa"/>
            <w:vMerge w:val="continue"/>
            <w:shd w:val="clear" w:color="auto" w:fill="auto"/>
            <w:vAlign w:val="center"/>
          </w:tcPr>
          <w:p>
            <w:pPr>
              <w:pStyle w:val="76"/>
              <w:rPr>
                <w:rFonts w:cs="Arial"/>
              </w:rPr>
            </w:pPr>
          </w:p>
        </w:tc>
        <w:tc>
          <w:tcPr>
            <w:tcW w:w="1701" w:type="dxa"/>
            <w:shd w:val="clear" w:color="auto" w:fill="auto"/>
            <w:vAlign w:val="center"/>
          </w:tcPr>
          <w:p>
            <w:pPr>
              <w:pStyle w:val="76"/>
              <w:rPr>
                <w:rFonts w:cs="Arial"/>
              </w:rPr>
            </w:pPr>
            <w:r>
              <w:rPr>
                <w:rFonts w:cs="Arial"/>
              </w:rPr>
              <w:t>-41</w:t>
            </w:r>
          </w:p>
        </w:tc>
        <w:tc>
          <w:tcPr>
            <w:tcW w:w="2021" w:type="dxa"/>
            <w:vMerge w:val="continue"/>
            <w:shd w:val="clear" w:color="auto" w:fill="auto"/>
            <w:vAlign w:val="center"/>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5"/>
            <w:shd w:val="clear" w:color="auto" w:fill="auto"/>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p>
          <w:p>
            <w:pPr>
              <w:pStyle w:val="90"/>
              <w:rPr>
                <w:rFonts w:cs="Arial"/>
              </w:rPr>
            </w:pPr>
            <w:r>
              <w:rPr>
                <w:rFonts w:cs="Arial"/>
              </w:rPr>
              <w:t>NOTE 2:</w:t>
            </w:r>
            <w:r>
              <w:rPr>
                <w:rFonts w:cs="Arial"/>
              </w:rPr>
              <w:tab/>
            </w:r>
            <w:r>
              <w:rPr>
                <w:rFonts w:cs="Arial"/>
              </w:rPr>
              <w:t>"x" is equal to 6 in case of NR, E-UTRA or UTRA wanted signals and equal to 3 in case of GSM/EDGE wanted signal.</w:t>
            </w:r>
            <w:r>
              <w:rPr>
                <w:rFonts w:cs="Arial"/>
                <w:lang w:eastAsia="zh-CN"/>
              </w:rPr>
              <w:t xml:space="preserve"> </w:t>
            </w:r>
            <w:r>
              <w:rPr>
                <w:rFonts w:cs="Arial"/>
              </w:rPr>
              <w:t>"</w:t>
            </w:r>
            <w:r>
              <w:rPr>
                <w:rFonts w:cs="Arial"/>
                <w:lang w:eastAsia="zh-CN"/>
              </w:rPr>
              <w:t>x</w:t>
            </w:r>
            <w:r>
              <w:rPr>
                <w:rFonts w:cs="Arial"/>
              </w:rPr>
              <w:t>"</w:t>
            </w:r>
            <w:r>
              <w:rPr>
                <w:rFonts w:cs="Arial"/>
                <w:lang w:eastAsia="zh-CN"/>
              </w:rPr>
              <w:t xml:space="preserve"> is specified in Table 7.4.2-2 for NB-IoT operation in </w:t>
            </w:r>
            <w:r>
              <w:t>E-UTRA in-band/guard band</w:t>
            </w:r>
            <w:r>
              <w:rPr>
                <w:rFonts w:cs="Arial"/>
                <w:lang w:eastAsia="zh-CN"/>
              </w:rPr>
              <w:t xml:space="preserve"> and NB-IoT standalone, and in Table 7.4.2-2A for NB-IoT operation in NR in-band.</w:t>
            </w:r>
            <w:r>
              <w:rPr>
                <w:rFonts w:cs="Arial"/>
              </w:rPr>
              <w:t xml:space="preserve"> </w:t>
            </w:r>
          </w:p>
          <w:p>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ja-JP"/>
              </w:rPr>
              <w:t>For NB-IoT, the mentioned desensitized values consider only one NB-IoT PRB in the guard band, which is placed adjacent to the E-UTRA PRB edge as close as possible (i.e., away from edge of channel bandwidth).</w:t>
            </w:r>
          </w:p>
          <w:p>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0"/>
              <w:rPr>
                <w:rFonts w:cs="Arial"/>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pPr>
              <w:pStyle w:val="90"/>
              <w:ind w:left="0" w:firstLine="0"/>
              <w:rPr>
                <w:lang w:val="en-US" w:eastAsia="zh-CN"/>
              </w:rPr>
            </w:pPr>
            <w:r>
              <w:rPr>
                <w:lang w:eastAsia="zh-CN"/>
              </w:rPr>
              <w:t xml:space="preserve">NOTE </w:t>
            </w:r>
            <w:r>
              <w:rPr>
                <w:rFonts w:hint="eastAsia"/>
                <w:lang w:val="en-US" w:eastAsia="zh-CN"/>
              </w:rPr>
              <w:t>7</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90"/>
              <w:rPr>
                <w:rFonts w:cs="Arial"/>
              </w:rPr>
            </w:pPr>
            <w:r>
              <w:t xml:space="preserve">NOTE </w:t>
            </w:r>
            <w:r>
              <w:rPr>
                <w:rFonts w:hint="eastAsia" w:eastAsia="宋体"/>
                <w:lang w:val="en-US" w:eastAsia="zh-CN"/>
              </w:rPr>
              <w:t>8</w:t>
            </w:r>
            <w:r>
              <w:t>:</w:t>
            </w:r>
            <w:r>
              <w:rPr>
                <w:rFonts w:eastAsia="宋体"/>
                <w:lang w:eastAsia="zh-CN"/>
              </w:rPr>
              <w:tab/>
            </w:r>
            <w:r>
              <w:t>Void</w:t>
            </w:r>
          </w:p>
        </w:tc>
      </w:tr>
    </w:tbl>
    <w:p/>
    <w:p>
      <w:pPr>
        <w:pStyle w:val="79"/>
        <w:rPr>
          <w:lang w:eastAsia="zh-CN"/>
        </w:rPr>
      </w:pPr>
      <w:r>
        <w:t xml:space="preserve">Table 7.4.2-2: </w:t>
      </w:r>
      <w:r>
        <w:rPr>
          <w:rFonts w:cs="Arial"/>
        </w:rPr>
        <w:t>"</w:t>
      </w:r>
      <w:r>
        <w:rPr>
          <w:lang w:eastAsia="zh-CN"/>
        </w:rPr>
        <w:t>x</w:t>
      </w:r>
      <w:r>
        <w:rPr>
          <w:rFonts w:cs="Arial"/>
        </w:rPr>
        <w:t>"</w:t>
      </w:r>
      <w:r>
        <w:rPr>
          <w:lang w:eastAsia="zh-CN"/>
        </w:rPr>
        <w:t xml:space="preserve"> for NB-IoT wanted signals</w:t>
      </w:r>
      <w:r>
        <w:rPr>
          <w:rFonts w:cs="Arial"/>
          <w:lang w:eastAsia="zh-CN"/>
        </w:rPr>
        <w:t xml:space="preserve"> operation in </w:t>
      </w:r>
      <w:r>
        <w:t>E-UTRA in-band/guard band</w:t>
      </w:r>
      <w:r>
        <w:rPr>
          <w:rFonts w:cs="Arial"/>
          <w:lang w:eastAsia="zh-CN"/>
        </w:rPr>
        <w:t xml:space="preserve"> and NB-IoT standalone</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pPr>
              <w:pStyle w:val="75"/>
            </w:pPr>
            <w:r>
              <w:t>Operation mode</w:t>
            </w:r>
          </w:p>
        </w:tc>
        <w:tc>
          <w:tcPr>
            <w:tcW w:w="2090" w:type="dxa"/>
            <w:noWrap/>
            <w:tcMar>
              <w:top w:w="0" w:type="dxa"/>
              <w:left w:w="108" w:type="dxa"/>
              <w:bottom w:w="0" w:type="dxa"/>
              <w:right w:w="108" w:type="dxa"/>
            </w:tcMar>
            <w:vAlign w:val="bottom"/>
          </w:tcPr>
          <w:p>
            <w:pPr>
              <w:pStyle w:val="75"/>
            </w:pPr>
            <w:r>
              <w:t xml:space="preserve">LTE channel bandwidth for in-band/guard band operation </w:t>
            </w:r>
          </w:p>
        </w:tc>
        <w:tc>
          <w:tcPr>
            <w:tcW w:w="857" w:type="dxa"/>
            <w:shd w:val="clear" w:color="auto" w:fill="auto"/>
            <w:noWrap/>
            <w:tcMar>
              <w:top w:w="0" w:type="dxa"/>
              <w:left w:w="108" w:type="dxa"/>
              <w:bottom w:w="0" w:type="dxa"/>
              <w:right w:w="108" w:type="dxa"/>
            </w:tcMar>
            <w:vAlign w:val="center"/>
          </w:tcPr>
          <w:p>
            <w:pPr>
              <w:pStyle w:val="7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pPr>
              <w:pStyle w:val="76"/>
            </w:pPr>
            <w:r>
              <w:t>Standalone</w:t>
            </w:r>
          </w:p>
        </w:tc>
        <w:tc>
          <w:tcPr>
            <w:tcW w:w="2090" w:type="dxa"/>
            <w:noWrap/>
            <w:tcMar>
              <w:top w:w="0" w:type="dxa"/>
              <w:left w:w="108" w:type="dxa"/>
              <w:bottom w:w="0" w:type="dxa"/>
              <w:right w:w="108" w:type="dxa"/>
            </w:tcMar>
            <w:vAlign w:val="bottom"/>
          </w:tcPr>
          <w:p>
            <w:pPr>
              <w:pStyle w:val="76"/>
              <w:rPr>
                <w:lang w:eastAsia="zh-CN"/>
              </w:rPr>
            </w:pPr>
            <w:r>
              <w:rPr>
                <w:lang w:eastAsia="zh-CN"/>
              </w:rPr>
              <w:t>-</w:t>
            </w:r>
          </w:p>
        </w:tc>
        <w:tc>
          <w:tcPr>
            <w:tcW w:w="857" w:type="dxa"/>
            <w:shd w:val="clear" w:color="auto" w:fill="auto"/>
            <w:noWrap/>
            <w:tcMar>
              <w:top w:w="0" w:type="dxa"/>
              <w:left w:w="108" w:type="dxa"/>
              <w:bottom w:w="0" w:type="dxa"/>
              <w:right w:w="108" w:type="dxa"/>
            </w:tcMar>
            <w:vAlign w:val="center"/>
          </w:tcPr>
          <w:p>
            <w:pPr>
              <w:pStyle w:val="76"/>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noWrap/>
            <w:tcMar>
              <w:top w:w="0" w:type="dxa"/>
              <w:left w:w="108" w:type="dxa"/>
              <w:bottom w:w="0" w:type="dxa"/>
              <w:right w:w="108" w:type="dxa"/>
            </w:tcMar>
            <w:vAlign w:val="center"/>
          </w:tcPr>
          <w:p>
            <w:pPr>
              <w:pStyle w:val="76"/>
            </w:pPr>
            <w:r>
              <w:t>In Band</w:t>
            </w:r>
          </w:p>
        </w:tc>
        <w:tc>
          <w:tcPr>
            <w:tcW w:w="2090" w:type="dxa"/>
            <w:noWrap/>
            <w:tcMar>
              <w:top w:w="0" w:type="dxa"/>
              <w:left w:w="108" w:type="dxa"/>
              <w:bottom w:w="0" w:type="dxa"/>
              <w:right w:w="108" w:type="dxa"/>
            </w:tcMar>
            <w:vAlign w:val="center"/>
          </w:tcPr>
          <w:p>
            <w:pPr>
              <w:pStyle w:val="76"/>
              <w:rPr>
                <w:lang w:eastAsia="zh-CN"/>
              </w:rPr>
            </w:pPr>
          </w:p>
        </w:tc>
        <w:tc>
          <w:tcPr>
            <w:tcW w:w="857" w:type="dxa"/>
            <w:shd w:val="clear" w:color="auto" w:fill="auto"/>
            <w:noWrap/>
            <w:tcMar>
              <w:top w:w="0" w:type="dxa"/>
              <w:left w:w="108" w:type="dxa"/>
              <w:bottom w:w="0" w:type="dxa"/>
              <w:right w:w="108" w:type="dxa"/>
            </w:tcMar>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3</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247" w:type="dxa"/>
            <w:vMerge w:val="restart"/>
            <w:noWrap/>
            <w:tcMar>
              <w:top w:w="0" w:type="dxa"/>
              <w:left w:w="108" w:type="dxa"/>
              <w:bottom w:w="0" w:type="dxa"/>
              <w:right w:w="108" w:type="dxa"/>
            </w:tcMar>
            <w:vAlign w:val="center"/>
          </w:tcPr>
          <w:p>
            <w:pPr>
              <w:pStyle w:val="76"/>
            </w:pPr>
            <w:r>
              <w:t>Guard band</w:t>
            </w:r>
          </w:p>
        </w:tc>
        <w:tc>
          <w:tcPr>
            <w:tcW w:w="2090" w:type="dxa"/>
            <w:noWrap/>
            <w:tcMar>
              <w:top w:w="0" w:type="dxa"/>
              <w:left w:w="108" w:type="dxa"/>
              <w:bottom w:w="0" w:type="dxa"/>
              <w:right w:w="108" w:type="dxa"/>
            </w:tcMar>
            <w:vAlign w:val="center"/>
          </w:tcPr>
          <w:p>
            <w:pPr>
              <w:pStyle w:val="76"/>
            </w:pPr>
            <w:r>
              <w:t>5 MHz</w:t>
            </w:r>
          </w:p>
        </w:tc>
        <w:tc>
          <w:tcPr>
            <w:tcW w:w="857" w:type="dxa"/>
            <w:shd w:val="clear" w:color="auto" w:fill="auto"/>
            <w:noWrap/>
            <w:tcMar>
              <w:top w:w="0" w:type="dxa"/>
              <w:left w:w="108" w:type="dxa"/>
              <w:bottom w:w="0" w:type="dxa"/>
              <w:right w:w="108" w:type="dxa"/>
            </w:tcMar>
            <w:vAlign w:val="center"/>
          </w:tcPr>
          <w:p>
            <w:pPr>
              <w:pStyle w:val="76"/>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bl>
    <w:p/>
    <w:p>
      <w:pPr>
        <w:pStyle w:val="79"/>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pPr>
              <w:pStyle w:val="75"/>
            </w:pPr>
            <w:r>
              <w:t>Operation mode</w:t>
            </w:r>
          </w:p>
        </w:tc>
        <w:tc>
          <w:tcPr>
            <w:tcW w:w="2090" w:type="dxa"/>
            <w:noWrap/>
            <w:tcMar>
              <w:top w:w="0" w:type="dxa"/>
              <w:left w:w="108" w:type="dxa"/>
              <w:bottom w:w="0" w:type="dxa"/>
              <w:right w:w="108" w:type="dxa"/>
            </w:tcMar>
            <w:vAlign w:val="bottom"/>
          </w:tcPr>
          <w:p>
            <w:pPr>
              <w:pStyle w:val="75"/>
            </w:pPr>
            <w:r>
              <w:t xml:space="preserve">NR BS channel bandwidth </w:t>
            </w:r>
          </w:p>
        </w:tc>
        <w:tc>
          <w:tcPr>
            <w:tcW w:w="857" w:type="dxa"/>
            <w:shd w:val="clear" w:color="auto" w:fill="auto"/>
            <w:noWrap/>
            <w:tcMar>
              <w:top w:w="0" w:type="dxa"/>
              <w:left w:w="108" w:type="dxa"/>
              <w:bottom w:w="0" w:type="dxa"/>
              <w:right w:w="108" w:type="dxa"/>
            </w:tcMar>
            <w:vAlign w:val="center"/>
          </w:tcPr>
          <w:p>
            <w:pPr>
              <w:pStyle w:val="7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vAlign w:val="center"/>
          </w:tcPr>
          <w:p>
            <w:pPr>
              <w:pStyle w:val="76"/>
              <w:rPr>
                <w:lang w:eastAsia="zh-CN"/>
              </w:rPr>
            </w:pPr>
            <w:r>
              <w:rPr>
                <w:rFonts w:hint="eastAsia"/>
                <w:lang w:eastAsia="zh-CN"/>
              </w:rPr>
              <w:t>NR in-band</w:t>
            </w:r>
          </w:p>
        </w:tc>
        <w:tc>
          <w:tcPr>
            <w:tcW w:w="2090" w:type="dxa"/>
            <w:noWrap/>
            <w:tcMar>
              <w:top w:w="0" w:type="dxa"/>
              <w:left w:w="108" w:type="dxa"/>
              <w:bottom w:w="0" w:type="dxa"/>
              <w:right w:w="108" w:type="dxa"/>
            </w:tcMar>
            <w:vAlign w:val="center"/>
          </w:tcPr>
          <w:p>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ins w:id="8" w:author="ZTE" w:date="2025-03-17T09:11:49Z"/>
        </w:trPr>
        <w:tc>
          <w:tcPr>
            <w:tcW w:w="1247" w:type="dxa"/>
            <w:vMerge w:val="continue"/>
            <w:vAlign w:val="center"/>
          </w:tcPr>
          <w:p>
            <w:pPr>
              <w:pStyle w:val="76"/>
              <w:rPr>
                <w:ins w:id="9" w:author="ZTE" w:date="2025-03-17T09:11:49Z"/>
              </w:rPr>
            </w:pPr>
          </w:p>
        </w:tc>
        <w:tc>
          <w:tcPr>
            <w:tcW w:w="2090" w:type="dxa"/>
            <w:noWrap/>
            <w:tcMar>
              <w:top w:w="0" w:type="dxa"/>
              <w:left w:w="108" w:type="dxa"/>
              <w:bottom w:w="0" w:type="dxa"/>
              <w:right w:w="108" w:type="dxa"/>
            </w:tcMar>
            <w:vAlign w:val="center"/>
          </w:tcPr>
          <w:p>
            <w:pPr>
              <w:pStyle w:val="76"/>
              <w:rPr>
                <w:ins w:id="10" w:author="ZTE" w:date="2025-03-17T09:11:49Z"/>
              </w:rPr>
            </w:pPr>
            <w:ins w:id="11" w:author="ZTE" w:date="2025-03-17T09:11:57Z">
              <w:r>
                <w:rPr>
                  <w:rFonts w:hint="eastAsia"/>
                  <w:lang w:val="en-US" w:eastAsia="zh-CN"/>
                </w:rPr>
                <w:t>7</w:t>
              </w:r>
            </w:ins>
            <w:ins w:id="12" w:author="ZTE" w:date="2025-03-17T09:11:55Z">
              <w:r>
                <w:rPr>
                  <w:lang w:eastAsia="zh-CN"/>
                </w:rPr>
                <w:t xml:space="preserve"> MHz</w:t>
              </w:r>
            </w:ins>
          </w:p>
        </w:tc>
        <w:tc>
          <w:tcPr>
            <w:tcW w:w="857" w:type="dxa"/>
            <w:shd w:val="clear" w:color="auto" w:fill="auto"/>
            <w:noWrap/>
            <w:tcMar>
              <w:top w:w="0" w:type="dxa"/>
              <w:left w:w="108" w:type="dxa"/>
              <w:bottom w:w="0" w:type="dxa"/>
              <w:right w:w="108" w:type="dxa"/>
            </w:tcMar>
            <w:vAlign w:val="center"/>
          </w:tcPr>
          <w:p>
            <w:pPr>
              <w:pStyle w:val="76"/>
              <w:rPr>
                <w:ins w:id="13" w:author="ZTE" w:date="2025-03-17T09:11:49Z"/>
                <w:rFonts w:hint="eastAsia" w:eastAsiaTheme="minorEastAsia"/>
                <w:lang w:val="en-US" w:eastAsia="zh-CN"/>
              </w:rPr>
            </w:pPr>
            <w:ins w:id="14" w:author="ZTE" w:date="2025-03-17T09:12:00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pPr>
              <w:pStyle w:val="76"/>
            </w:pPr>
          </w:p>
        </w:tc>
        <w:tc>
          <w:tcPr>
            <w:tcW w:w="2090" w:type="dxa"/>
            <w:noWrap/>
            <w:tcMar>
              <w:top w:w="0" w:type="dxa"/>
              <w:left w:w="108" w:type="dxa"/>
              <w:bottom w:w="0" w:type="dxa"/>
              <w:right w:w="108" w:type="dxa"/>
            </w:tcMar>
            <w:vAlign w:val="center"/>
          </w:tcPr>
          <w:p>
            <w:pPr>
              <w:pStyle w:val="76"/>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pPr>
              <w:pStyle w:val="76"/>
            </w:pPr>
            <w:r>
              <w:t>6</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28" w:name="_Toc61111923"/>
      <w:bookmarkStart w:id="129" w:name="_Toc21093250"/>
      <w:bookmarkStart w:id="130" w:name="_Toc61126166"/>
      <w:bookmarkStart w:id="131" w:name="_Toc105765000"/>
      <w:bookmarkStart w:id="132" w:name="_Toc187260698"/>
      <w:bookmarkStart w:id="133" w:name="_Toc145071590"/>
      <w:bookmarkStart w:id="134" w:name="_Toc29762779"/>
      <w:bookmarkStart w:id="135" w:name="_Toc123151200"/>
      <w:bookmarkStart w:id="136" w:name="_Toc138891801"/>
      <w:bookmarkStart w:id="137" w:name="_Toc44584824"/>
      <w:bookmarkStart w:id="138" w:name="_Toc74821252"/>
      <w:bookmarkStart w:id="139" w:name="_Toc66804678"/>
      <w:bookmarkStart w:id="140" w:name="_Toc98664998"/>
      <w:bookmarkStart w:id="141" w:name="_Toc52553676"/>
      <w:bookmarkStart w:id="142" w:name="_Toc124162716"/>
      <w:bookmarkStart w:id="143" w:name="_Toc36025954"/>
      <w:bookmarkStart w:id="144" w:name="_Toc61126005"/>
      <w:bookmarkStart w:id="145" w:name="_Toc155212297"/>
      <w:bookmarkStart w:id="146" w:name="_Toc138085305"/>
      <w:bookmarkStart w:id="147" w:name="_Toc76503116"/>
      <w:bookmarkStart w:id="148" w:name="_Toc130866083"/>
      <w:bookmarkStart w:id="149" w:name="_Toc83038789"/>
      <w:bookmarkStart w:id="150" w:name="_Toc45869117"/>
      <w:bookmarkStart w:id="151" w:name="_Toc89850913"/>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4"/>
      </w:pPr>
      <w:r>
        <w:t>7.7.1</w:t>
      </w:r>
      <w:r>
        <w:tab/>
      </w:r>
      <w:r>
        <w:t>General intermodulation 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r>
        <w:t>The requirement is applicable outside the Base Station RF Bandwidth or Radio Bandwidth. The interfering signal offset is defined relative to the Base Station RF Bandwidth edges or Radio Bandwidth edges.</w:t>
      </w:r>
    </w:p>
    <w:p>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
        <w:t>For the wanted signal at the assigned channel frequency and two interfering signals coupled to the base station antenna input, using the parameters in Table 7.7.1-1 and 7.7.1-2, the following requirements shall be met:</w:t>
      </w:r>
    </w:p>
    <w:p>
      <w:pPr>
        <w:pStyle w:val="99"/>
      </w:pPr>
      <w:r>
        <w:t>-</w:t>
      </w:r>
      <w:r>
        <w:tab/>
      </w:r>
      <w:r>
        <w:t>For any E-UTRA carrier, the throughput shall be ≥ 95% of the maximum throughput of the reference measurement channel defined in TS 36.104 [4], subclause 7.2.</w:t>
      </w:r>
    </w:p>
    <w:p>
      <w:pPr>
        <w:pStyle w:val="99"/>
      </w:pPr>
      <w:r>
        <w:t>-</w:t>
      </w:r>
      <w:r>
        <w:tab/>
      </w:r>
      <w:r>
        <w:t>For any UTRA FDD carrier, the BER shall not exceed 0.001 for the reference measurement channel defined in TS 25.104 [2], subclause 7.2.</w:t>
      </w:r>
    </w:p>
    <w:p>
      <w:pPr>
        <w:pStyle w:val="99"/>
      </w:pPr>
      <w:r>
        <w:t>-</w:t>
      </w:r>
      <w:r>
        <w:tab/>
      </w:r>
      <w:r>
        <w:t>For any UTRA TDD carrier, the BER shall not exceed 0.001 for the reference measurement channel defined in TS 25.105 [3], subclause 7.2.</w:t>
      </w:r>
    </w:p>
    <w:p>
      <w:pPr>
        <w:pStyle w:val="99"/>
      </w:pPr>
      <w:r>
        <w:t>-</w:t>
      </w:r>
      <w:r>
        <w:tab/>
      </w:r>
      <w:r>
        <w:t>For any GSM/EDGE carrier, the conditions are specified in TS 45.005 [5], Annex P.2.2.</w:t>
      </w:r>
    </w:p>
    <w:p>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99"/>
      </w:pPr>
      <w:r>
        <w:t>-</w:t>
      </w:r>
      <w:r>
        <w:tab/>
      </w:r>
      <w:r>
        <w:t>For any NR carrier, the throughput shall be ≥ 95% of the maximum throughput of the reference measurement channel defined in TS 38.104 [17], subclause 7.2.</w:t>
      </w:r>
    </w:p>
    <w:p>
      <w:pPr>
        <w:pStyle w:val="79"/>
      </w:pPr>
      <w:r>
        <w:t>Table 7.7.1-1: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75"/>
              <w:rPr>
                <w:rFonts w:cs="Arial"/>
              </w:rPr>
            </w:pPr>
            <w:r>
              <w:rPr>
                <w:rFonts w:cs="Arial"/>
              </w:rPr>
              <w:t>Base Station Type</w:t>
            </w:r>
          </w:p>
        </w:tc>
        <w:tc>
          <w:tcPr>
            <w:tcW w:w="2376" w:type="dxa"/>
            <w:shd w:val="clear" w:color="auto" w:fill="auto"/>
          </w:tcPr>
          <w:p>
            <w:pPr>
              <w:pStyle w:val="75"/>
              <w:rPr>
                <w:rFonts w:cs="Arial"/>
              </w:rPr>
            </w:pPr>
            <w:r>
              <w:rPr>
                <w:rFonts w:cs="Arial"/>
              </w:rPr>
              <w:t>Mean power of interfering signals [dBm]</w:t>
            </w:r>
          </w:p>
        </w:tc>
        <w:tc>
          <w:tcPr>
            <w:tcW w:w="2216" w:type="dxa"/>
            <w:shd w:val="clear" w:color="auto" w:fill="auto"/>
          </w:tcPr>
          <w:p>
            <w:pPr>
              <w:pStyle w:val="75"/>
              <w:rPr>
                <w:rFonts w:cs="Arial"/>
              </w:rPr>
            </w:pPr>
            <w:r>
              <w:rPr>
                <w:rFonts w:cs="Arial"/>
              </w:rPr>
              <w:t>Wanted Signal mean power [dBm]</w:t>
            </w:r>
          </w:p>
        </w:tc>
        <w:tc>
          <w:tcPr>
            <w:tcW w:w="1973" w:type="dxa"/>
            <w:shd w:val="clear" w:color="auto" w:fill="auto"/>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76"/>
              <w:rPr>
                <w:rFonts w:cs="Arial"/>
              </w:rPr>
            </w:pPr>
            <w:r>
              <w:rPr>
                <w:rFonts w:cs="Arial"/>
              </w:rPr>
              <w:t>Wide Area BS</w:t>
            </w:r>
          </w:p>
        </w:tc>
        <w:tc>
          <w:tcPr>
            <w:tcW w:w="2376" w:type="dxa"/>
            <w:shd w:val="clear" w:color="auto" w:fill="auto"/>
          </w:tcPr>
          <w:p>
            <w:pPr>
              <w:pStyle w:val="76"/>
              <w:rPr>
                <w:rFonts w:cs="Arial"/>
              </w:rPr>
            </w:pPr>
            <w:r>
              <w:rPr>
                <w:rFonts w:cs="Arial"/>
              </w:rPr>
              <w:t>-48+y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2)</w:t>
            </w:r>
          </w:p>
        </w:tc>
        <w:tc>
          <w:tcPr>
            <w:tcW w:w="1973" w:type="dxa"/>
            <w:vMerge w:val="restart"/>
            <w:shd w:val="clear" w:color="auto" w:fill="auto"/>
            <w:vAlign w:val="center"/>
          </w:tcPr>
          <w:p>
            <w:pPr>
              <w:pStyle w:val="76"/>
              <w:rPr>
                <w:rFonts w:cs="Arial"/>
              </w:rPr>
            </w:pPr>
            <w:r>
              <w:rPr>
                <w:rFonts w:cs="Arial"/>
              </w:rPr>
              <w:t>See Table 7.7.1-2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76"/>
              <w:rPr>
                <w:rFonts w:cs="Arial"/>
              </w:rPr>
            </w:pPr>
            <w:r>
              <w:rPr>
                <w:rFonts w:cs="Arial"/>
              </w:rPr>
              <w:t>Medium Range BS</w:t>
            </w:r>
          </w:p>
        </w:tc>
        <w:tc>
          <w:tcPr>
            <w:tcW w:w="2376" w:type="dxa"/>
            <w:shd w:val="clear" w:color="auto" w:fill="auto"/>
          </w:tcPr>
          <w:p>
            <w:pPr>
              <w:pStyle w:val="76"/>
              <w:rPr>
                <w:rFonts w:cs="Arial"/>
              </w:rPr>
            </w:pPr>
            <w:r>
              <w:rPr>
                <w:rFonts w:cs="Arial"/>
              </w:rPr>
              <w:t>-44+y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pPr>
              <w:pStyle w:val="76"/>
              <w:rPr>
                <w:rFonts w:cs="Arial"/>
              </w:rPr>
            </w:pPr>
            <w:r>
              <w:rPr>
                <w:rFonts w:cs="Arial"/>
              </w:rPr>
              <w:t>Local Area BS</w:t>
            </w:r>
          </w:p>
        </w:tc>
        <w:tc>
          <w:tcPr>
            <w:tcW w:w="2376" w:type="dxa"/>
            <w:shd w:val="clear" w:color="auto" w:fill="auto"/>
          </w:tcPr>
          <w:p>
            <w:pPr>
              <w:pStyle w:val="76"/>
              <w:rPr>
                <w:rFonts w:cs="Arial"/>
              </w:rPr>
            </w:pPr>
            <w:r>
              <w:rPr>
                <w:rFonts w:cs="Arial"/>
              </w:rPr>
              <w:t>-38+y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shd w:val="clear" w:color="auto" w:fill="auto"/>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w:t>
            </w:r>
          </w:p>
          <w:p>
            <w:pPr>
              <w:pStyle w:val="90"/>
              <w:rPr>
                <w:rFonts w:cs="Arial"/>
              </w:rPr>
            </w:pPr>
            <w:r>
              <w:rPr>
                <w:rFonts w:cs="Arial"/>
              </w:rPr>
              <w:t>NOTE 2:</w:t>
            </w:r>
            <w:r>
              <w:rPr>
                <w:rFonts w:cs="Arial"/>
              </w:rPr>
              <w:tab/>
            </w:r>
            <w:r>
              <w:rPr>
                <w:rFonts w:cs="Arial"/>
              </w:rPr>
              <w:t>For WA BS supporting GSM and/or UTRA, "x" is equal to 6 in case of NR or E-UTRA or UTRA</w:t>
            </w:r>
            <w:r>
              <w:rPr>
                <w:rFonts w:cs="Arial"/>
                <w:lang w:eastAsia="zh-CN"/>
              </w:rPr>
              <w:t xml:space="preserve"> or NB-IoT</w:t>
            </w:r>
            <w:r>
              <w:rPr>
                <w:rFonts w:cs="Arial"/>
              </w:rPr>
              <w:t xml:space="preserve"> wanted signals and equal to 3 in case of GSM/EDGE wanted signal.</w:t>
            </w:r>
          </w:p>
          <w:p>
            <w:pPr>
              <w:pStyle w:val="90"/>
              <w:rPr>
                <w:rFonts w:cs="Arial"/>
              </w:rPr>
            </w:pPr>
            <w:r>
              <w:rPr>
                <w:rFonts w:cs="Arial"/>
              </w:rPr>
              <w:t>NOTE 3:</w:t>
            </w:r>
            <w:r>
              <w:rPr>
                <w:rFonts w:cs="Arial"/>
              </w:rPr>
              <w:tab/>
            </w:r>
            <w:r>
              <w:rPr>
                <w:rFonts w:cs="Arial"/>
              </w:rPr>
              <w:t xml:space="preserve">For MR BS supporting GSM and/or UTRA, "x" is equal to 6 in case of UTRA wanted signals, 9 in case of NR or E-UTRA or NB-IoT wanted signal and equal to 3 in case of GSM/EDGE wanted signal. </w:t>
            </w:r>
          </w:p>
          <w:p>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 xml:space="preserve">in case of UTRA wanted signal and equal to 3 in case of GSM/EDGE wanted signal. </w:t>
            </w:r>
          </w:p>
          <w:p>
            <w:pPr>
              <w:pStyle w:val="90"/>
            </w:pPr>
            <w:r>
              <w:t>NOTE 5:</w:t>
            </w:r>
            <w:r>
              <w:rPr>
                <w:rFonts w:cs="Arial"/>
              </w:rPr>
              <w:tab/>
            </w:r>
            <w:r>
              <w:t>For a BS neither supporting GSM nor UTRA, x is equal to 6 for all BS classes if NR is supported, otherwise x is equal to 6 for WA BS or, 9 for MR BS and 12 for LA BS if NR is not supported.</w:t>
            </w:r>
          </w:p>
          <w:p>
            <w:pPr>
              <w:pStyle w:val="90"/>
              <w:rPr>
                <w:rFonts w:cs="Arial"/>
                <w:lang w:val="zh-CN"/>
              </w:rPr>
            </w:pPr>
            <w:r>
              <w:rPr>
                <w:rFonts w:cs="Arial"/>
              </w:rPr>
              <w:t>NOTE 6:</w:t>
            </w:r>
            <w:r>
              <w:rPr>
                <w:rFonts w:cs="Arial"/>
              </w:rPr>
              <w:tab/>
            </w:r>
            <w:r>
              <w:t xml:space="preserve">For a BS supporting NR but neither UTRA nor GSM; </w:t>
            </w:r>
            <w:r>
              <w:rPr>
                <w:rFonts w:cs="Arial"/>
              </w:rPr>
              <w:t>"</w:t>
            </w:r>
            <w:r>
              <w:t>y</w:t>
            </w:r>
            <w:r>
              <w:rPr>
                <w:rFonts w:cs="Arial"/>
              </w:rPr>
              <w:t>"</w:t>
            </w:r>
            <w:r>
              <w:t xml:space="preserve"> is equal to -4 for the WA BS class, -3 for the MR BS class and -6 for the LA BS class. For all other cases, </w:t>
            </w:r>
            <w:r>
              <w:rPr>
                <w:rFonts w:cs="Arial"/>
              </w:rPr>
              <w:t>"</w:t>
            </w:r>
            <w:r>
              <w:t>y</w:t>
            </w:r>
            <w:r>
              <w:rPr>
                <w:rFonts w:cs="Arial"/>
              </w:rPr>
              <w:t>"</w:t>
            </w:r>
            <w:r>
              <w:t xml:space="preserve"> is equal to zero for all BS classes</w:t>
            </w:r>
          </w:p>
        </w:tc>
      </w:tr>
    </w:tbl>
    <w:p/>
    <w:p>
      <w:pPr>
        <w:pStyle w:val="79"/>
      </w:pPr>
      <w:r>
        <w:t xml:space="preserve">Table 7.7.1-2: Interfering signals for 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pPr>
              <w:pStyle w:val="75"/>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pPr>
              <w:pStyle w:val="75"/>
              <w:rPr>
                <w:rFonts w:cs="Arial"/>
              </w:rPr>
            </w:pPr>
            <w:r>
              <w:rPr>
                <w:rFonts w:cs="Arial"/>
              </w:rPr>
              <w:t>Interfering signal centre frequency offset from the Base Station RF Bandwidth edge [MHz]</w:t>
            </w:r>
          </w:p>
        </w:tc>
        <w:tc>
          <w:tcPr>
            <w:tcW w:w="2410" w:type="dxa"/>
            <w:shd w:val="clear" w:color="auto" w:fill="auto"/>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E-UTRA 1.4 MHz</w:t>
            </w:r>
          </w:p>
          <w:p>
            <w:pPr>
              <w:pStyle w:val="76"/>
              <w:rPr>
                <w:rFonts w:cs="Arial"/>
              </w:rPr>
            </w:pPr>
          </w:p>
        </w:tc>
        <w:tc>
          <w:tcPr>
            <w:tcW w:w="2835" w:type="dxa"/>
            <w:shd w:val="clear" w:color="auto" w:fill="auto"/>
          </w:tcPr>
          <w:p>
            <w:pPr>
              <w:pStyle w:val="76"/>
              <w:rPr>
                <w:rFonts w:cs="Arial"/>
              </w:rPr>
            </w:pPr>
            <w:r>
              <w:rPr>
                <w:rFonts w:cs="Arial"/>
              </w:rPr>
              <w:t xml:space="preserve">±2.0 (BC1 and BC3) / </w:t>
            </w:r>
            <w:r>
              <w:rPr>
                <w:rFonts w:cs="Arial"/>
              </w:rPr>
              <w:br w:type="textWrapping"/>
            </w:r>
            <w:bookmarkStart w:id="152" w:name="OLE_LINK5"/>
            <w:r>
              <w:rPr>
                <w:rFonts w:cs="Arial"/>
              </w:rPr>
              <w:t>±</w:t>
            </w:r>
            <w:bookmarkEnd w:id="152"/>
            <w:r>
              <w:rPr>
                <w:rFonts w:cs="Arial"/>
              </w:rPr>
              <w:t>2.1 (BC2)</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±4.9</w:t>
            </w:r>
          </w:p>
        </w:tc>
        <w:tc>
          <w:tcPr>
            <w:tcW w:w="2410" w:type="dxa"/>
            <w:shd w:val="clear" w:color="auto" w:fill="auto"/>
          </w:tcPr>
          <w:p>
            <w:pPr>
              <w:pStyle w:val="76"/>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w:t>
            </w:r>
            <w:r>
              <w:rPr>
                <w:rFonts w:cs="Arial"/>
              </w:rPr>
              <w:t xml:space="preserve"> 3 MHz</w:t>
            </w:r>
          </w:p>
          <w:p>
            <w:pPr>
              <w:pStyle w:val="76"/>
              <w:rPr>
                <w:rFonts w:cs="Arial"/>
              </w:rPr>
            </w:pPr>
          </w:p>
        </w:tc>
        <w:tc>
          <w:tcPr>
            <w:tcW w:w="2835" w:type="dxa"/>
            <w:shd w:val="clear" w:color="auto" w:fill="auto"/>
          </w:tcPr>
          <w:p>
            <w:pPr>
              <w:pStyle w:val="76"/>
              <w:rPr>
                <w:rFonts w:cs="Arial"/>
              </w:rPr>
            </w:pPr>
            <w:r>
              <w:rPr>
                <w:rFonts w:cs="Arial"/>
              </w:rPr>
              <w:t xml:space="preserve">±4.4 (BC1 and BC3) / </w:t>
            </w:r>
            <w:r>
              <w:rPr>
                <w:rFonts w:cs="Arial"/>
              </w:rPr>
              <w:br w:type="textWrapping"/>
            </w:r>
            <w:r>
              <w:rPr>
                <w:rFonts w:cs="Arial"/>
              </w:rPr>
              <w:t>±4.5 (BC2)</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±10.5</w:t>
            </w:r>
          </w:p>
        </w:tc>
        <w:tc>
          <w:tcPr>
            <w:tcW w:w="2410" w:type="dxa"/>
            <w:shd w:val="clear" w:color="auto" w:fill="auto"/>
          </w:tcPr>
          <w:p>
            <w:pPr>
              <w:pStyle w:val="76"/>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UTRA FDD and </w:t>
            </w:r>
            <w:r>
              <w:rPr>
                <w:rFonts w:cs="Arial"/>
              </w:rPr>
              <w:br w:type="textWrapping"/>
            </w:r>
            <w:r>
              <w:rPr>
                <w:rFonts w:cs="Arial"/>
              </w:rPr>
              <w:t xml:space="preserve">E-UTRA </w:t>
            </w:r>
            <w:r>
              <w:rPr>
                <w:rFonts w:cs="Arial"/>
                <w:lang w:eastAsia="zh-CN"/>
              </w:rPr>
              <w:t>or E-UTRA with NB-IoT in-band/guard band</w:t>
            </w:r>
            <w:r>
              <w:rPr>
                <w:rFonts w:cs="Arial"/>
              </w:rPr>
              <w:t xml:space="preserve"> 5 MHz</w:t>
            </w:r>
          </w:p>
        </w:tc>
        <w:tc>
          <w:tcPr>
            <w:tcW w:w="2835" w:type="dxa"/>
            <w:shd w:val="clear" w:color="auto" w:fill="auto"/>
          </w:tcPr>
          <w:p>
            <w:pPr>
              <w:pStyle w:val="76"/>
              <w:rPr>
                <w:rFonts w:cs="Arial"/>
              </w:rPr>
            </w:pPr>
            <w:r>
              <w:rPr>
                <w:rFonts w:cs="Arial"/>
              </w:rPr>
              <w:t>±7.5</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±17.5</w:t>
            </w:r>
          </w:p>
        </w:tc>
        <w:tc>
          <w:tcPr>
            <w:tcW w:w="2410" w:type="dxa"/>
            <w:shd w:val="clear" w:color="auto" w:fill="auto"/>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10 MHz</w:t>
            </w:r>
          </w:p>
          <w:p>
            <w:pPr>
              <w:pStyle w:val="76"/>
              <w:rPr>
                <w:rFonts w:cs="Arial"/>
              </w:rPr>
            </w:pPr>
          </w:p>
        </w:tc>
        <w:tc>
          <w:tcPr>
            <w:tcW w:w="2835" w:type="dxa"/>
            <w:shd w:val="clear" w:color="auto" w:fill="auto"/>
          </w:tcPr>
          <w:p>
            <w:pPr>
              <w:pStyle w:val="76"/>
              <w:rPr>
                <w:rFonts w:cs="Arial"/>
              </w:rPr>
            </w:pPr>
            <w:r>
              <w:rPr>
                <w:rFonts w:cs="Arial"/>
              </w:rPr>
              <w:t>±7.375</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±17.5</w:t>
            </w:r>
          </w:p>
        </w:tc>
        <w:tc>
          <w:tcPr>
            <w:tcW w:w="2410" w:type="dxa"/>
            <w:shd w:val="clear" w:color="auto" w:fill="auto"/>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15 MHz</w:t>
            </w:r>
          </w:p>
          <w:p>
            <w:pPr>
              <w:pStyle w:val="76"/>
              <w:rPr>
                <w:rFonts w:cs="Arial"/>
              </w:rPr>
            </w:pPr>
          </w:p>
        </w:tc>
        <w:tc>
          <w:tcPr>
            <w:tcW w:w="2835" w:type="dxa"/>
            <w:shd w:val="clear" w:color="auto" w:fill="auto"/>
          </w:tcPr>
          <w:p>
            <w:pPr>
              <w:pStyle w:val="76"/>
              <w:rPr>
                <w:rFonts w:cs="Arial"/>
              </w:rPr>
            </w:pPr>
            <w:r>
              <w:rPr>
                <w:rFonts w:cs="Arial"/>
              </w:rPr>
              <w:t>±7.25</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±17.5</w:t>
            </w:r>
          </w:p>
        </w:tc>
        <w:tc>
          <w:tcPr>
            <w:tcW w:w="2410" w:type="dxa"/>
            <w:shd w:val="clear" w:color="auto" w:fill="auto"/>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pPr>
              <w:pStyle w:val="76"/>
              <w:rPr>
                <w:rFonts w:cs="Arial"/>
              </w:rPr>
            </w:pPr>
            <w:r>
              <w:rPr>
                <w:rFonts w:cs="Arial"/>
              </w:rPr>
              <w:t>±7.125</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±17.5</w:t>
            </w:r>
          </w:p>
        </w:tc>
        <w:tc>
          <w:tcPr>
            <w:tcW w:w="2410" w:type="dxa"/>
            <w:shd w:val="clear" w:color="auto" w:fill="auto"/>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GSM/EDGE</w:t>
            </w:r>
            <w:r>
              <w:rPr>
                <w:rFonts w:cs="Arial"/>
                <w:lang w:eastAsia="zh-CN"/>
              </w:rPr>
              <w:t>/NB-IoT standalone</w:t>
            </w:r>
          </w:p>
        </w:tc>
        <w:tc>
          <w:tcPr>
            <w:tcW w:w="2835" w:type="dxa"/>
            <w:shd w:val="clear" w:color="auto" w:fill="auto"/>
          </w:tcPr>
          <w:p>
            <w:pPr>
              <w:pStyle w:val="76"/>
              <w:rPr>
                <w:rFonts w:cs="Arial"/>
              </w:rPr>
            </w:pPr>
            <w:r>
              <w:rPr>
                <w:rFonts w:cs="Arial"/>
              </w:rPr>
              <w:t>±7.575</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±17.5</w:t>
            </w:r>
          </w:p>
        </w:tc>
        <w:tc>
          <w:tcPr>
            <w:tcW w:w="2410" w:type="dxa"/>
            <w:shd w:val="clear" w:color="auto" w:fill="auto"/>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1.28 Mcps UTRA TDD</w:t>
            </w:r>
          </w:p>
        </w:tc>
        <w:tc>
          <w:tcPr>
            <w:tcW w:w="2835" w:type="dxa"/>
            <w:shd w:val="clear" w:color="auto" w:fill="auto"/>
          </w:tcPr>
          <w:p>
            <w:pPr>
              <w:pStyle w:val="76"/>
              <w:rPr>
                <w:rFonts w:cs="Arial"/>
              </w:rPr>
            </w:pPr>
            <w:r>
              <w:rPr>
                <w:rFonts w:cs="Arial"/>
              </w:rPr>
              <w:t>±2.3 (BC3)</w:t>
            </w:r>
          </w:p>
        </w:tc>
        <w:tc>
          <w:tcPr>
            <w:tcW w:w="24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tcPr>
          <w:p>
            <w:pPr>
              <w:pStyle w:val="76"/>
              <w:rPr>
                <w:rFonts w:cs="Arial"/>
              </w:rPr>
            </w:pPr>
            <w:r>
              <w:rPr>
                <w:rFonts w:cs="Arial"/>
              </w:rPr>
              <w:t>±5.6 (BC3)</w:t>
            </w:r>
          </w:p>
        </w:tc>
        <w:tc>
          <w:tcPr>
            <w:tcW w:w="2410" w:type="dxa"/>
            <w:shd w:val="clear" w:color="auto" w:fill="auto"/>
          </w:tcPr>
          <w:p>
            <w:pPr>
              <w:pStyle w:val="76"/>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±17.5</w:t>
            </w:r>
          </w:p>
        </w:tc>
        <w:tc>
          <w:tcPr>
            <w:tcW w:w="2410" w:type="dxa"/>
            <w:shd w:val="clear" w:color="auto" w:fill="auto"/>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ins w:id="15" w:author="ZTE" w:date="2025-03-17T09:12:25Z"/>
        </w:trPr>
        <w:tc>
          <w:tcPr>
            <w:tcW w:w="1809" w:type="dxa"/>
            <w:vMerge w:val="restart"/>
            <w:shd w:val="clear" w:color="auto" w:fill="auto"/>
            <w:vAlign w:val="center"/>
          </w:tcPr>
          <w:p>
            <w:pPr>
              <w:pStyle w:val="76"/>
              <w:rPr>
                <w:ins w:id="16" w:author="ZTE" w:date="2025-03-17T09:12:25Z"/>
                <w:rFonts w:cs="Arial"/>
              </w:rPr>
            </w:pPr>
            <w:ins w:id="17" w:author="ZTE" w:date="2025-03-17T09:12:33Z">
              <w:r>
                <w:rPr>
                  <w:rFonts w:cs="Arial"/>
                </w:rPr>
                <w:t xml:space="preserve">NR </w:t>
              </w:r>
            </w:ins>
            <w:ins w:id="18" w:author="ZTE" w:date="2025-03-17T09:13:19Z">
              <w:r>
                <w:rPr>
                  <w:rFonts w:hint="eastAsia" w:cs="Arial"/>
                  <w:lang w:val="en-US" w:eastAsia="zh-CN"/>
                </w:rPr>
                <w:t>7</w:t>
              </w:r>
            </w:ins>
            <w:ins w:id="19" w:author="ZTE" w:date="2025-03-17T09:12:33Z">
              <w:r>
                <w:rPr>
                  <w:rFonts w:cs="Arial"/>
                </w:rPr>
                <w:t xml:space="preserve"> MHz or NR with </w:t>
              </w:r>
            </w:ins>
            <w:ins w:id="20" w:author="ZTE" w:date="2025-03-17T09:12:33Z">
              <w:r>
                <w:rPr>
                  <w:i/>
                  <w:lang w:eastAsia="zh-CN"/>
                </w:rPr>
                <w:t>NB-IoT operation in NR in-band</w:t>
              </w:r>
            </w:ins>
          </w:p>
        </w:tc>
        <w:tc>
          <w:tcPr>
            <w:tcW w:w="2835" w:type="dxa"/>
            <w:shd w:val="clear" w:color="auto" w:fill="auto"/>
            <w:vAlign w:val="center"/>
          </w:tcPr>
          <w:p>
            <w:pPr>
              <w:pStyle w:val="76"/>
              <w:rPr>
                <w:ins w:id="21" w:author="ZTE" w:date="2025-03-17T09:12:25Z"/>
                <w:rFonts w:ascii="Arial" w:hAnsi="Arial" w:cs="Arial" w:eastAsiaTheme="minorEastAsia"/>
                <w:sz w:val="18"/>
                <w:lang w:val="en-GB" w:eastAsia="en-US" w:bidi="ar-SA"/>
              </w:rPr>
            </w:pPr>
            <w:ins w:id="22" w:author="ZTE" w:date="2025-03-17T09:13:11Z">
              <w:r>
                <w:rPr>
                  <w:rFonts w:cs="Arial"/>
                </w:rPr>
                <w:t>±7.45</w:t>
              </w:r>
            </w:ins>
          </w:p>
        </w:tc>
        <w:tc>
          <w:tcPr>
            <w:tcW w:w="2410" w:type="dxa"/>
            <w:shd w:val="clear" w:color="auto" w:fill="auto"/>
            <w:vAlign w:val="center"/>
          </w:tcPr>
          <w:p>
            <w:pPr>
              <w:pStyle w:val="76"/>
              <w:rPr>
                <w:ins w:id="23" w:author="ZTE" w:date="2025-03-17T09:12:25Z"/>
                <w:rFonts w:ascii="Arial" w:hAnsi="Arial" w:cs="Arial" w:eastAsiaTheme="minorEastAsia"/>
                <w:sz w:val="18"/>
                <w:lang w:val="en-GB" w:eastAsia="en-US" w:bidi="ar-SA"/>
              </w:rPr>
            </w:pPr>
            <w:ins w:id="24" w:author="ZTE" w:date="2025-03-17T09:13:01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ins w:id="25" w:author="ZTE" w:date="2025-03-17T09:13:11Z"/>
                <w:rFonts w:ascii="Arial" w:hAnsi="Arial" w:cs="Arial" w:eastAsiaTheme="minorEastAsia"/>
                <w:sz w:val="18"/>
                <w:lang w:val="en-GB" w:eastAsia="en-US" w:bidi="ar-SA"/>
              </w:rPr>
            </w:pPr>
            <w:ins w:id="26" w:author="ZTE" w:date="2025-03-17T09:13:11Z">
              <w:r>
                <w:rPr>
                  <w:rFonts w:cs="Arial"/>
                </w:rPr>
                <w:t>±17.5</w:t>
              </w:r>
            </w:ins>
          </w:p>
        </w:tc>
        <w:tc>
          <w:tcPr>
            <w:tcW w:w="2410" w:type="dxa"/>
            <w:shd w:val="clear" w:color="auto" w:fill="auto"/>
            <w:vAlign w:val="center"/>
          </w:tcPr>
          <w:p>
            <w:pPr>
              <w:pStyle w:val="76"/>
              <w:rPr>
                <w:ins w:id="27" w:author="ZTE" w:date="2025-03-17T09:13:01Z"/>
                <w:rFonts w:ascii="Arial" w:hAnsi="Arial" w:cs="Arial" w:eastAsiaTheme="minorEastAsia"/>
                <w:sz w:val="18"/>
                <w:lang w:val="en-GB" w:eastAsia="en-US" w:bidi="ar-SA"/>
              </w:rPr>
            </w:pPr>
            <w:ins w:id="28" w:author="ZTE" w:date="2025-03-17T09:13:01Z">
              <w:r>
                <w:rPr>
                  <w:rFonts w:cs="Arial"/>
                </w:rPr>
                <w:t xml:space="preserve">5MHz </w:t>
              </w:r>
            </w:ins>
            <w:ins w:id="29" w:author="ZTE" w:date="2025-03-17T09:13:01Z">
              <w:r>
                <w:rPr/>
                <w:t>E-UTRA</w:t>
              </w:r>
            </w:ins>
            <w:ins w:id="30" w:author="ZTE" w:date="2025-03-17T09:13:01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±7.465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±17.5</w:t>
            </w:r>
          </w:p>
        </w:tc>
        <w:tc>
          <w:tcPr>
            <w:tcW w:w="2410" w:type="dxa"/>
            <w:shd w:val="clear" w:color="auto" w:fill="auto"/>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±7.43</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±17.5</w:t>
            </w:r>
          </w:p>
        </w:tc>
        <w:tc>
          <w:tcPr>
            <w:tcW w:w="2410" w:type="dxa"/>
            <w:shd w:val="clear" w:color="auto" w:fill="auto"/>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±7.395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±17.5</w:t>
            </w:r>
          </w:p>
        </w:tc>
        <w:tc>
          <w:tcPr>
            <w:tcW w:w="2410" w:type="dxa"/>
            <w:shd w:val="clear" w:color="auto" w:fill="auto"/>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±7.465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±7.43</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lang w:eastAsia="en-GB"/>
              </w:rPr>
              <w:t xml:space="preserve">NR 35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 xml:space="preserve">20MHz </w:t>
            </w:r>
            <w:r>
              <w:rPr>
                <w:lang w:eastAsia="en-GB"/>
              </w:rPr>
              <w:t>E-UTRA</w:t>
            </w:r>
            <w:r>
              <w:rPr>
                <w:rFonts w:cs="Arial"/>
                <w:lang w:eastAsia="en-GB"/>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±7.45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lang w:eastAsia="en-GB"/>
              </w:rPr>
              <w:t xml:space="preserve">NR 45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±7.37</w:t>
            </w:r>
          </w:p>
        </w:tc>
        <w:tc>
          <w:tcPr>
            <w:tcW w:w="24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 xml:space="preserve">20MHz </w:t>
            </w:r>
            <w:r>
              <w:rPr>
                <w:lang w:eastAsia="en-GB"/>
              </w:rPr>
              <w:t>E-UTRA</w:t>
            </w:r>
            <w:r>
              <w:rPr>
                <w:rFonts w:cs="Arial"/>
                <w:lang w:eastAsia="en-GB"/>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±7.35</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60 MHz</w:t>
            </w:r>
          </w:p>
        </w:tc>
        <w:tc>
          <w:tcPr>
            <w:tcW w:w="2835" w:type="dxa"/>
            <w:shd w:val="clear" w:color="auto" w:fill="auto"/>
            <w:vAlign w:val="center"/>
          </w:tcPr>
          <w:p>
            <w:pPr>
              <w:pStyle w:val="76"/>
              <w:rPr>
                <w:rFonts w:cs="Arial"/>
              </w:rPr>
            </w:pPr>
            <w:r>
              <w:rPr>
                <w:rFonts w:cs="Arial"/>
              </w:rPr>
              <w:t>±7.49</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70 MHz</w:t>
            </w:r>
          </w:p>
        </w:tc>
        <w:tc>
          <w:tcPr>
            <w:tcW w:w="2835" w:type="dxa"/>
            <w:shd w:val="clear" w:color="auto" w:fill="auto"/>
            <w:vAlign w:val="center"/>
          </w:tcPr>
          <w:p>
            <w:pPr>
              <w:pStyle w:val="76"/>
              <w:rPr>
                <w:rFonts w:cs="Arial"/>
              </w:rPr>
            </w:pPr>
            <w:r>
              <w:rPr>
                <w:rFonts w:cs="Arial"/>
              </w:rPr>
              <w:t>±7.42</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80 MHz</w:t>
            </w:r>
          </w:p>
        </w:tc>
        <w:tc>
          <w:tcPr>
            <w:tcW w:w="2835" w:type="dxa"/>
            <w:shd w:val="clear" w:color="auto" w:fill="auto"/>
            <w:vAlign w:val="center"/>
          </w:tcPr>
          <w:p>
            <w:pPr>
              <w:pStyle w:val="76"/>
              <w:rPr>
                <w:rFonts w:cs="Arial"/>
              </w:rPr>
            </w:pPr>
            <w:r>
              <w:rPr>
                <w:rFonts w:cs="Arial"/>
              </w:rPr>
              <w:t>±7.44</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90 MHz</w:t>
            </w:r>
          </w:p>
        </w:tc>
        <w:tc>
          <w:tcPr>
            <w:tcW w:w="2835" w:type="dxa"/>
            <w:shd w:val="clear" w:color="auto" w:fill="auto"/>
            <w:vAlign w:val="center"/>
          </w:tcPr>
          <w:p>
            <w:pPr>
              <w:pStyle w:val="76"/>
              <w:rPr>
                <w:rFonts w:cs="Arial"/>
              </w:rPr>
            </w:pPr>
            <w:r>
              <w:rPr>
                <w:rFonts w:cs="Arial"/>
              </w:rPr>
              <w:t>±7.46</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100 MHz</w:t>
            </w:r>
          </w:p>
        </w:tc>
        <w:tc>
          <w:tcPr>
            <w:tcW w:w="2835" w:type="dxa"/>
            <w:shd w:val="clear" w:color="auto" w:fill="auto"/>
            <w:vAlign w:val="center"/>
          </w:tcPr>
          <w:p>
            <w:pPr>
              <w:pStyle w:val="76"/>
              <w:rPr>
                <w:rFonts w:cs="Arial"/>
              </w:rPr>
            </w:pPr>
            <w:r>
              <w:rPr>
                <w:rFonts w:cs="Arial"/>
              </w:rPr>
              <w:t>±7.48</w:t>
            </w:r>
          </w:p>
        </w:tc>
        <w:tc>
          <w:tcPr>
            <w:tcW w:w="24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w:t>
            </w:r>
          </w:p>
        </w:tc>
        <w:tc>
          <w:tcPr>
            <w:tcW w:w="2410" w:type="dxa"/>
            <w:shd w:val="clear" w:color="auto" w:fill="auto"/>
            <w:vAlign w:val="center"/>
          </w:tcPr>
          <w:p>
            <w:pPr>
              <w:pStyle w:val="76"/>
              <w:rPr>
                <w:rFonts w:cs="Arial"/>
              </w:rPr>
            </w:pPr>
            <w:r>
              <w:rPr>
                <w:rFonts w:cs="Arial"/>
              </w:rPr>
              <w:t xml:space="preserve">20MHz </w:t>
            </w:r>
            <w:r>
              <w:t>E-UTRA</w:t>
            </w:r>
            <w:r>
              <w:rPr>
                <w:rFonts w:cs="Arial"/>
              </w:rPr>
              <w:t xml:space="preserve"> signal</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53" w:name="_Toc155212298"/>
      <w:bookmarkStart w:id="154" w:name="_Toc130866084"/>
      <w:bookmarkStart w:id="155" w:name="_Toc29762780"/>
      <w:bookmarkStart w:id="156" w:name="_Toc138085306"/>
      <w:bookmarkStart w:id="157" w:name="_Toc89850914"/>
      <w:bookmarkStart w:id="158" w:name="_Toc74821253"/>
      <w:bookmarkStart w:id="159" w:name="_Toc123151201"/>
      <w:bookmarkStart w:id="160" w:name="_Toc145071591"/>
      <w:bookmarkStart w:id="161" w:name="_Toc52553677"/>
      <w:bookmarkStart w:id="162" w:name="_Toc98664999"/>
      <w:bookmarkStart w:id="163" w:name="_Toc61126167"/>
      <w:bookmarkStart w:id="164" w:name="_Toc138891802"/>
      <w:bookmarkStart w:id="165" w:name="_Toc105765001"/>
      <w:bookmarkStart w:id="166" w:name="_Toc187260699"/>
      <w:bookmarkStart w:id="167" w:name="_Toc61111924"/>
      <w:bookmarkStart w:id="168" w:name="_Toc83038790"/>
      <w:bookmarkStart w:id="169" w:name="_Toc124162717"/>
      <w:bookmarkStart w:id="170" w:name="_Toc45869118"/>
      <w:bookmarkStart w:id="171" w:name="_Toc61126006"/>
      <w:bookmarkStart w:id="172" w:name="_Toc44584825"/>
      <w:bookmarkStart w:id="173" w:name="_Toc36025955"/>
      <w:bookmarkStart w:id="174" w:name="_Toc66804679"/>
      <w:bookmarkStart w:id="175" w:name="_Toc21093251"/>
      <w:bookmarkStart w:id="176" w:name="_Toc76503117"/>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4"/>
      </w:pPr>
      <w:r>
        <w:t>7.7.2</w:t>
      </w:r>
      <w:r>
        <w:tab/>
      </w:r>
      <w:r>
        <w:t>General narrowband intermodulation minimum requirement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
        <w:t>Interfering signals shall be a CW signal and an E-UTRA 1RB signal as specified in Annex A.</w:t>
      </w:r>
    </w:p>
    <w:p>
      <w:r>
        <w:t xml:space="preserve">The requirement is applicable outside the Base Station RF Bandwidth or Radio Bandwidth. The interfering signal offset is defined relative to the Base Station RF Bandwidth edges or Radio Bandwidth edges. </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
        <w:t>For the wanted signal at the assigned channel frequency and two interfering signals coupled to the base station antenna input, using the parameters in Table 7.7.2-1 and 7.7.2-2, the following requirements shall be met:</w:t>
      </w:r>
    </w:p>
    <w:p>
      <w:pPr>
        <w:pStyle w:val="99"/>
      </w:pPr>
      <w:r>
        <w:t>-</w:t>
      </w:r>
      <w:r>
        <w:tab/>
      </w:r>
      <w:r>
        <w:t>For any E-UTRA carrier, the throughput shall be ≥ 95% of the maximum throughput of the reference measurement channel defined in TS 36.104 [4], subclause 7.2.</w:t>
      </w:r>
    </w:p>
    <w:p>
      <w:pPr>
        <w:pStyle w:val="99"/>
      </w:pPr>
      <w:r>
        <w:t>-</w:t>
      </w:r>
      <w:r>
        <w:tab/>
      </w:r>
      <w:r>
        <w:t>For any UTRA FDD carrier, the BER shall not exceed 0.001 for the reference measurement channel defined in TS 25.104 [2], subclause 7.2.</w:t>
      </w:r>
    </w:p>
    <w:p>
      <w:pPr>
        <w:pStyle w:val="99"/>
      </w:pPr>
      <w:r>
        <w:t>-</w:t>
      </w:r>
      <w:r>
        <w:tab/>
      </w:r>
      <w:r>
        <w:t>For any UTRA TDD carrier, the BER shall not exceed 0.001 for the reference measurement channel defined in TS 25.105 [3], subclause 7.2.</w:t>
      </w:r>
    </w:p>
    <w:p>
      <w:pPr>
        <w:pStyle w:val="99"/>
      </w:pPr>
      <w:r>
        <w:t>-</w:t>
      </w:r>
      <w:r>
        <w:tab/>
      </w:r>
      <w:r>
        <w:t>For any GSM/EDGE carrier, the conditions are specified in TS 45.005 [5], Annex P.2.2.</w:t>
      </w:r>
    </w:p>
    <w:p>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99"/>
      </w:pPr>
      <w:r>
        <w:t>-</w:t>
      </w:r>
      <w:r>
        <w:tab/>
      </w:r>
      <w:r>
        <w:t>For any NR carrier, the throughput shall be ≥ 95% of the maximum throughput of the reference measurement channel defined in TS 38.104 [17], subclause 7.2.</w:t>
      </w:r>
    </w:p>
    <w:p>
      <w:pPr>
        <w:pStyle w:val="79"/>
      </w:pPr>
      <w:r>
        <w:t xml:space="preserve">Table 7.7.2-1: General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75"/>
              <w:rPr>
                <w:rFonts w:cs="Arial"/>
              </w:rPr>
            </w:pPr>
            <w:r>
              <w:rPr>
                <w:rFonts w:cs="Arial"/>
              </w:rPr>
              <w:t>Base Station Type</w:t>
            </w:r>
          </w:p>
        </w:tc>
        <w:tc>
          <w:tcPr>
            <w:tcW w:w="2376" w:type="dxa"/>
            <w:shd w:val="clear" w:color="auto" w:fill="auto"/>
          </w:tcPr>
          <w:p>
            <w:pPr>
              <w:pStyle w:val="75"/>
              <w:rPr>
                <w:rFonts w:cs="Arial"/>
              </w:rPr>
            </w:pPr>
            <w:r>
              <w:rPr>
                <w:rFonts w:cs="Arial"/>
              </w:rPr>
              <w:t>Mean power of interfering signals [dBm]</w:t>
            </w:r>
          </w:p>
        </w:tc>
        <w:tc>
          <w:tcPr>
            <w:tcW w:w="2142" w:type="dxa"/>
            <w:shd w:val="clear" w:color="auto" w:fill="auto"/>
          </w:tcPr>
          <w:p>
            <w:pPr>
              <w:pStyle w:val="75"/>
              <w:rPr>
                <w:rFonts w:cs="Arial"/>
              </w:rPr>
            </w:pPr>
            <w:r>
              <w:rPr>
                <w:rFonts w:cs="Arial"/>
              </w:rPr>
              <w:t>Wanted Signal mean power [dBm]</w:t>
            </w:r>
          </w:p>
        </w:tc>
        <w:tc>
          <w:tcPr>
            <w:tcW w:w="2079" w:type="dxa"/>
            <w:shd w:val="clear" w:color="auto" w:fill="auto"/>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76"/>
              <w:rPr>
                <w:rFonts w:cs="Arial"/>
              </w:rPr>
            </w:pPr>
            <w:r>
              <w:rPr>
                <w:rFonts w:cs="Arial"/>
              </w:rPr>
              <w:t>Wide Area BS</w:t>
            </w:r>
          </w:p>
        </w:tc>
        <w:tc>
          <w:tcPr>
            <w:tcW w:w="2376" w:type="dxa"/>
            <w:shd w:val="clear" w:color="auto" w:fill="auto"/>
          </w:tcPr>
          <w:p>
            <w:pPr>
              <w:pStyle w:val="76"/>
              <w:rPr>
                <w:rFonts w:cs="Arial"/>
              </w:rPr>
            </w:pPr>
            <w:r>
              <w:rPr>
                <w:rFonts w:cs="Arial"/>
              </w:rPr>
              <w:t>-52</w:t>
            </w:r>
          </w:p>
        </w:tc>
        <w:tc>
          <w:tcPr>
            <w:tcW w:w="2142" w:type="dxa"/>
            <w:vMerge w:val="restart"/>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1)</w:t>
            </w:r>
          </w:p>
        </w:tc>
        <w:tc>
          <w:tcPr>
            <w:tcW w:w="2079" w:type="dxa"/>
            <w:vMerge w:val="restart"/>
            <w:shd w:val="clear" w:color="auto" w:fill="auto"/>
            <w:vAlign w:val="center"/>
          </w:tcPr>
          <w:p>
            <w:pPr>
              <w:pStyle w:val="76"/>
              <w:rPr>
                <w:rFonts w:cs="Arial"/>
              </w:rPr>
            </w:pPr>
            <w:r>
              <w:rPr>
                <w:rFonts w:cs="Arial"/>
              </w:rP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44" w:type="dxa"/>
            <w:shd w:val="clear" w:color="auto" w:fill="auto"/>
          </w:tcPr>
          <w:p>
            <w:pPr>
              <w:pStyle w:val="76"/>
              <w:rPr>
                <w:rFonts w:cs="Arial"/>
              </w:rPr>
            </w:pPr>
            <w:r>
              <w:rPr>
                <w:rFonts w:cs="Arial"/>
              </w:rPr>
              <w:t>Medium Range BS</w:t>
            </w:r>
          </w:p>
        </w:tc>
        <w:tc>
          <w:tcPr>
            <w:tcW w:w="2376" w:type="dxa"/>
            <w:shd w:val="clear" w:color="auto" w:fill="auto"/>
          </w:tcPr>
          <w:p>
            <w:pPr>
              <w:pStyle w:val="76"/>
              <w:rPr>
                <w:rFonts w:cs="Arial"/>
              </w:rPr>
            </w:pPr>
            <w:r>
              <w:rPr>
                <w:rFonts w:cs="Arial"/>
              </w:rPr>
              <w:t>-47</w:t>
            </w:r>
          </w:p>
        </w:tc>
        <w:tc>
          <w:tcPr>
            <w:tcW w:w="2142" w:type="dxa"/>
            <w:vMerge w:val="continue"/>
            <w:shd w:val="clear" w:color="auto" w:fill="auto"/>
          </w:tcPr>
          <w:p>
            <w:pPr>
              <w:pStyle w:val="76"/>
              <w:rPr>
                <w:rFonts w:cs="Arial"/>
              </w:rPr>
            </w:pPr>
          </w:p>
        </w:tc>
        <w:tc>
          <w:tcPr>
            <w:tcW w:w="2079" w:type="dxa"/>
            <w:vMerge w:val="continue"/>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pPr>
              <w:pStyle w:val="76"/>
              <w:rPr>
                <w:rFonts w:cs="Arial"/>
              </w:rPr>
            </w:pPr>
            <w:r>
              <w:rPr>
                <w:rFonts w:cs="Arial"/>
              </w:rPr>
              <w:t>Local Area BS</w:t>
            </w:r>
          </w:p>
        </w:tc>
        <w:tc>
          <w:tcPr>
            <w:tcW w:w="2376" w:type="dxa"/>
            <w:shd w:val="clear" w:color="auto" w:fill="auto"/>
          </w:tcPr>
          <w:p>
            <w:pPr>
              <w:pStyle w:val="76"/>
              <w:rPr>
                <w:rFonts w:cs="Arial"/>
              </w:rPr>
            </w:pPr>
            <w:r>
              <w:rPr>
                <w:rFonts w:cs="Arial"/>
              </w:rPr>
              <w:t>-44</w:t>
            </w:r>
          </w:p>
        </w:tc>
        <w:tc>
          <w:tcPr>
            <w:tcW w:w="2142" w:type="dxa"/>
            <w:vMerge w:val="continue"/>
            <w:shd w:val="clear" w:color="auto" w:fill="auto"/>
          </w:tcPr>
          <w:p>
            <w:pPr>
              <w:pStyle w:val="76"/>
              <w:rPr>
                <w:rFonts w:cs="Arial"/>
              </w:rPr>
            </w:pPr>
          </w:p>
        </w:tc>
        <w:tc>
          <w:tcPr>
            <w:tcW w:w="2079" w:type="dxa"/>
            <w:vMerge w:val="continue"/>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1" w:type="dxa"/>
            <w:gridSpan w:val="4"/>
            <w:shd w:val="clear" w:color="auto" w:fill="auto"/>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r>
              <w:rPr>
                <w:rFonts w:cs="Arial"/>
              </w:rPr>
              <w:br w:type="textWrapping"/>
            </w:r>
            <w:r>
              <w:rPr>
                <w:rFonts w:cs="Arial"/>
              </w:rPr>
              <w:t>"x" is equal to 6 in case of NR, NB-IoT, E-UTRA or UTRA wanted signals and equal to 3 in case of GSM/EDGE wanted signal.</w:t>
            </w:r>
          </w:p>
        </w:tc>
      </w:tr>
    </w:tbl>
    <w:p/>
    <w:p>
      <w:pPr>
        <w:pStyle w:val="79"/>
        <w:rPr>
          <w:lang w:eastAsia="zh-CN"/>
        </w:rPr>
      </w:pPr>
      <w:r>
        <w:t>Table 7.</w:t>
      </w:r>
      <w:r>
        <w:rPr>
          <w:lang w:eastAsia="zh-CN"/>
        </w:rPr>
        <w:t>7.2</w:t>
      </w:r>
      <w:r>
        <w:t>-1</w:t>
      </w:r>
      <w:r>
        <w:rPr>
          <w:lang w:eastAsia="zh-CN"/>
        </w:rPr>
        <w:t>a</w:t>
      </w:r>
      <w:r>
        <w:t xml:space="preserve">: </w:t>
      </w:r>
      <w:r>
        <w:rPr>
          <w:rFonts w:cs="Arial"/>
        </w:rPr>
        <w:t>Void</w:t>
      </w:r>
    </w:p>
    <w:p/>
    <w:p>
      <w:pPr>
        <w:pStyle w:val="79"/>
      </w:pPr>
      <w:r>
        <w:t xml:space="preserve">Table 7.7.2-2: Interfering signals for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pPr>
              <w:pStyle w:val="75"/>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pPr>
              <w:pStyle w:val="75"/>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E-UTRA</w:t>
            </w:r>
            <w:r>
              <w:rPr>
                <w:rFonts w:cs="Arial"/>
                <w:lang w:eastAsia="zh-CN"/>
              </w:rPr>
              <w:t xml:space="preserve"> </w:t>
            </w:r>
            <w:r>
              <w:rPr>
                <w:rFonts w:cs="Arial"/>
              </w:rPr>
              <w:t>1.4 MHz</w:t>
            </w:r>
          </w:p>
          <w:p>
            <w:pPr>
              <w:pStyle w:val="76"/>
              <w:rPr>
                <w:rFonts w:cs="Arial"/>
              </w:rPr>
            </w:pPr>
          </w:p>
        </w:tc>
        <w:tc>
          <w:tcPr>
            <w:tcW w:w="2835" w:type="dxa"/>
            <w:shd w:val="clear" w:color="auto" w:fill="auto"/>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 xml:space="preserve">±970 (BC1 and BC3) / </w:t>
            </w:r>
            <w:r>
              <w:rPr>
                <w:rFonts w:cs="Arial"/>
              </w:rPr>
              <w:br w:type="textWrapping"/>
            </w:r>
            <w:r>
              <w:rPr>
                <w:rFonts w:cs="Arial"/>
              </w:rPr>
              <w:t>±790 (BC2)</w:t>
            </w:r>
          </w:p>
        </w:tc>
        <w:tc>
          <w:tcPr>
            <w:tcW w:w="3010" w:type="dxa"/>
            <w:shd w:val="clear" w:color="auto" w:fill="auto"/>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 xml:space="preserve">or E-UTRA with NB-IoT in-band </w:t>
            </w:r>
            <w:r>
              <w:rPr>
                <w:rFonts w:cs="Arial"/>
              </w:rPr>
              <w:t>3 MHz</w:t>
            </w:r>
          </w:p>
          <w:p>
            <w:pPr>
              <w:pStyle w:val="76"/>
              <w:rPr>
                <w:rFonts w:cs="Arial"/>
              </w:rPr>
            </w:pPr>
          </w:p>
        </w:tc>
        <w:tc>
          <w:tcPr>
            <w:tcW w:w="2835" w:type="dxa"/>
            <w:shd w:val="clear" w:color="auto" w:fill="auto"/>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 xml:space="preserve">±960 (BC1 and BC3) / </w:t>
            </w:r>
            <w:r>
              <w:rPr>
                <w:rFonts w:cs="Arial"/>
              </w:rPr>
              <w:br w:type="textWrapping"/>
            </w:r>
            <w:r>
              <w:rPr>
                <w:rFonts w:cs="Arial"/>
              </w:rPr>
              <w:t>±780 (BC2)</w:t>
            </w:r>
          </w:p>
        </w:tc>
        <w:tc>
          <w:tcPr>
            <w:tcW w:w="3010" w:type="dxa"/>
            <w:shd w:val="clear" w:color="auto" w:fill="auto"/>
          </w:tcPr>
          <w:p>
            <w:pPr>
              <w:pStyle w:val="76"/>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pPr>
              <w:pStyle w:val="76"/>
              <w:rPr>
                <w:rFonts w:cs="Arial"/>
              </w:rPr>
            </w:pPr>
            <w:r>
              <w:rPr>
                <w:rFonts w:cs="Arial"/>
              </w:rPr>
              <w:t>±360 (NOTE 3)</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±1060</w:t>
            </w:r>
          </w:p>
        </w:tc>
        <w:tc>
          <w:tcPr>
            <w:tcW w:w="3010" w:type="dxa"/>
            <w:shd w:val="clear" w:color="auto" w:fill="auto"/>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10 MHz</w:t>
            </w:r>
          </w:p>
          <w:p>
            <w:pPr>
              <w:pStyle w:val="76"/>
              <w:rPr>
                <w:rFonts w:cs="Arial"/>
              </w:rPr>
            </w:pPr>
            <w:r>
              <w:rPr>
                <w:rFonts w:cs="Arial"/>
              </w:rPr>
              <w:t>(NOTE 2)</w:t>
            </w:r>
          </w:p>
        </w:tc>
        <w:tc>
          <w:tcPr>
            <w:tcW w:w="2835" w:type="dxa"/>
            <w:shd w:val="clear" w:color="auto" w:fill="auto"/>
            <w:vAlign w:val="center"/>
          </w:tcPr>
          <w:p>
            <w:pPr>
              <w:pStyle w:val="76"/>
              <w:rPr>
                <w:rFonts w:cs="Arial"/>
              </w:rPr>
            </w:pPr>
            <w:r>
              <w:rPr>
                <w:rFonts w:cs="Arial"/>
              </w:rPr>
              <w:t>±325 (NOTE 3)</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±1240</w:t>
            </w:r>
          </w:p>
        </w:tc>
        <w:tc>
          <w:tcPr>
            <w:tcW w:w="3010" w:type="dxa"/>
            <w:shd w:val="clear" w:color="auto" w:fill="auto"/>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15 MHz</w:t>
            </w:r>
          </w:p>
          <w:p>
            <w:pPr>
              <w:pStyle w:val="76"/>
              <w:rPr>
                <w:rFonts w:cs="Arial"/>
              </w:rPr>
            </w:pPr>
            <w:r>
              <w:rPr>
                <w:rFonts w:cs="Arial"/>
              </w:rPr>
              <w:t>(NOTE 2)</w:t>
            </w:r>
          </w:p>
        </w:tc>
        <w:tc>
          <w:tcPr>
            <w:tcW w:w="2835" w:type="dxa"/>
            <w:shd w:val="clear" w:color="auto" w:fill="auto"/>
            <w:vAlign w:val="center"/>
          </w:tcPr>
          <w:p>
            <w:pPr>
              <w:pStyle w:val="76"/>
              <w:rPr>
                <w:rFonts w:cs="Arial"/>
              </w:rPr>
            </w:pPr>
            <w:r>
              <w:rPr>
                <w:rFonts w:cs="Arial"/>
              </w:rPr>
              <w:t>±380 (NOTE 3)</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±1600</w:t>
            </w:r>
          </w:p>
        </w:tc>
        <w:tc>
          <w:tcPr>
            <w:tcW w:w="3010" w:type="dxa"/>
            <w:shd w:val="clear" w:color="auto" w:fill="auto"/>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 xml:space="preserve">E-UTRA </w:t>
            </w:r>
            <w:r>
              <w:rPr>
                <w:rFonts w:cs="Arial"/>
                <w:lang w:eastAsia="zh-CN"/>
              </w:rPr>
              <w:t>or E-UTRA with NB-IoT in-band/guard band</w:t>
            </w:r>
            <w:r>
              <w:rPr>
                <w:rFonts w:cs="Arial"/>
              </w:rPr>
              <w:t xml:space="preserve"> 20 MHz</w:t>
            </w:r>
          </w:p>
          <w:p>
            <w:pPr>
              <w:pStyle w:val="76"/>
              <w:rPr>
                <w:rFonts w:cs="Arial"/>
              </w:rPr>
            </w:pPr>
            <w:r>
              <w:rPr>
                <w:rFonts w:cs="Arial"/>
              </w:rPr>
              <w:t>(NOTE 2)</w:t>
            </w:r>
          </w:p>
        </w:tc>
        <w:tc>
          <w:tcPr>
            <w:tcW w:w="2835" w:type="dxa"/>
            <w:shd w:val="clear" w:color="auto" w:fill="auto"/>
            <w:vAlign w:val="center"/>
          </w:tcPr>
          <w:p>
            <w:pPr>
              <w:pStyle w:val="76"/>
              <w:rPr>
                <w:rFonts w:cs="Arial"/>
              </w:rPr>
            </w:pPr>
            <w:r>
              <w:rPr>
                <w:rFonts w:cs="Arial"/>
              </w:rPr>
              <w:t>±345 (NOTE 3)</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±1780</w:t>
            </w:r>
          </w:p>
        </w:tc>
        <w:tc>
          <w:tcPr>
            <w:tcW w:w="3010" w:type="dxa"/>
            <w:shd w:val="clear" w:color="auto" w:fill="auto"/>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UTRA FDD</w:t>
            </w:r>
          </w:p>
        </w:tc>
        <w:tc>
          <w:tcPr>
            <w:tcW w:w="2835" w:type="dxa"/>
            <w:shd w:val="clear" w:color="auto" w:fill="auto"/>
            <w:vAlign w:val="center"/>
          </w:tcPr>
          <w:p>
            <w:pPr>
              <w:pStyle w:val="76"/>
              <w:rPr>
                <w:rFonts w:cs="Arial"/>
              </w:rPr>
            </w:pPr>
            <w:r>
              <w:rPr>
                <w:rFonts w:cs="Arial"/>
              </w:rPr>
              <w:t>±345 (BC1 and BC2)</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±1780 (BC1 and BC2)</w:t>
            </w:r>
          </w:p>
        </w:tc>
        <w:tc>
          <w:tcPr>
            <w:tcW w:w="3010" w:type="dxa"/>
            <w:shd w:val="clear" w:color="auto" w:fill="auto"/>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GSM/EDGE</w:t>
            </w:r>
          </w:p>
        </w:tc>
        <w:tc>
          <w:tcPr>
            <w:tcW w:w="2835" w:type="dxa"/>
            <w:shd w:val="clear" w:color="auto" w:fill="auto"/>
            <w:vAlign w:val="center"/>
          </w:tcPr>
          <w:p>
            <w:pPr>
              <w:pStyle w:val="76"/>
              <w:rPr>
                <w:rFonts w:cs="Arial"/>
              </w:rPr>
            </w:pPr>
            <w:r>
              <w:rPr>
                <w:rFonts w:cs="Arial"/>
              </w:rPr>
              <w:t>±340</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±880</w:t>
            </w:r>
          </w:p>
        </w:tc>
        <w:tc>
          <w:tcPr>
            <w:tcW w:w="3010" w:type="dxa"/>
            <w:shd w:val="clear" w:color="auto" w:fill="auto"/>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lang w:eastAsia="zh-CN"/>
              </w:rPr>
              <w:t>NB-IoT standalone</w:t>
            </w:r>
          </w:p>
        </w:tc>
        <w:tc>
          <w:tcPr>
            <w:tcW w:w="2835" w:type="dxa"/>
            <w:shd w:val="clear" w:color="auto" w:fill="auto"/>
            <w:vAlign w:val="center"/>
          </w:tcPr>
          <w:p>
            <w:pPr>
              <w:pStyle w:val="76"/>
              <w:rPr>
                <w:rFonts w:cs="Arial"/>
              </w:rPr>
            </w:pPr>
            <w:r>
              <w:rPr>
                <w:rFonts w:cs="Arial"/>
              </w:rPr>
              <w:t>±340</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±880</w:t>
            </w:r>
          </w:p>
        </w:tc>
        <w:tc>
          <w:tcPr>
            <w:tcW w:w="3010" w:type="dxa"/>
            <w:shd w:val="clear" w:color="auto" w:fill="auto"/>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pPr>
              <w:pStyle w:val="76"/>
              <w:rPr>
                <w:rFonts w:cs="Arial"/>
              </w:rPr>
            </w:pPr>
            <w:r>
              <w:rPr>
                <w:rFonts w:cs="Arial"/>
              </w:rPr>
              <w:t>1.28Mcps UTRA TDD</w:t>
            </w:r>
          </w:p>
        </w:tc>
        <w:tc>
          <w:tcPr>
            <w:tcW w:w="2835" w:type="dxa"/>
            <w:shd w:val="clear" w:color="auto" w:fill="auto"/>
            <w:vAlign w:val="center"/>
          </w:tcPr>
          <w:p>
            <w:pPr>
              <w:pStyle w:val="76"/>
              <w:rPr>
                <w:rFonts w:cs="Arial"/>
              </w:rPr>
            </w:pPr>
            <w:r>
              <w:rPr>
                <w:rFonts w:cs="Arial"/>
              </w:rPr>
              <w:t>±190 (BC3)</w:t>
            </w:r>
          </w:p>
        </w:tc>
        <w:tc>
          <w:tcPr>
            <w:tcW w:w="3010" w:type="dxa"/>
            <w:shd w:val="clear" w:color="auto" w:fill="auto"/>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pPr>
              <w:pStyle w:val="76"/>
              <w:rPr>
                <w:rFonts w:cs="Arial"/>
              </w:rPr>
            </w:pPr>
          </w:p>
        </w:tc>
        <w:tc>
          <w:tcPr>
            <w:tcW w:w="2835" w:type="dxa"/>
            <w:shd w:val="clear" w:color="auto" w:fill="auto"/>
            <w:vAlign w:val="center"/>
          </w:tcPr>
          <w:p>
            <w:pPr>
              <w:pStyle w:val="76"/>
              <w:rPr>
                <w:rFonts w:cs="Arial"/>
              </w:rPr>
            </w:pPr>
            <w:r>
              <w:rPr>
                <w:rFonts w:cs="Arial"/>
              </w:rPr>
              <w:t>±970 (BC3)</w:t>
            </w:r>
          </w:p>
        </w:tc>
        <w:tc>
          <w:tcPr>
            <w:tcW w:w="3010" w:type="dxa"/>
            <w:shd w:val="clear" w:color="auto" w:fill="auto"/>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±360</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±1420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ins w:id="31" w:author="ZTE" w:date="2025-03-17T09:13:36Z"/>
        </w:trPr>
        <w:tc>
          <w:tcPr>
            <w:tcW w:w="1809" w:type="dxa"/>
            <w:vMerge w:val="restart"/>
            <w:shd w:val="clear" w:color="auto" w:fill="auto"/>
            <w:vAlign w:val="center"/>
          </w:tcPr>
          <w:p>
            <w:pPr>
              <w:pStyle w:val="76"/>
              <w:rPr>
                <w:ins w:id="32" w:author="ZTE" w:date="2025-03-17T09:13:36Z"/>
                <w:rFonts w:cs="Arial"/>
              </w:rPr>
            </w:pPr>
            <w:ins w:id="33" w:author="ZTE" w:date="2025-03-17T09:13:42Z">
              <w:r>
                <w:rPr>
                  <w:rFonts w:cs="Arial"/>
                </w:rPr>
                <w:t xml:space="preserve">NR </w:t>
              </w:r>
            </w:ins>
            <w:ins w:id="34" w:author="ZTE" w:date="2025-03-17T09:13:46Z">
              <w:r>
                <w:rPr>
                  <w:rFonts w:hint="eastAsia" w:cs="Arial"/>
                  <w:lang w:val="en-US" w:eastAsia="zh-CN"/>
                </w:rPr>
                <w:t>7</w:t>
              </w:r>
            </w:ins>
            <w:ins w:id="35" w:author="ZTE" w:date="2025-03-17T09:13:42Z">
              <w:r>
                <w:rPr>
                  <w:rFonts w:cs="Arial"/>
                </w:rPr>
                <w:t xml:space="preserve"> MHz or NR with </w:t>
              </w:r>
            </w:ins>
            <w:ins w:id="36" w:author="ZTE" w:date="2025-03-17T09:13:42Z">
              <w:r>
                <w:rPr>
                  <w:i/>
                  <w:lang w:eastAsia="zh-CN"/>
                </w:rPr>
                <w:t>NB-IoT operation in NR in-band</w:t>
              </w:r>
            </w:ins>
          </w:p>
        </w:tc>
        <w:tc>
          <w:tcPr>
            <w:tcW w:w="2835" w:type="dxa"/>
            <w:shd w:val="clear" w:color="auto" w:fill="auto"/>
            <w:vAlign w:val="center"/>
          </w:tcPr>
          <w:p>
            <w:pPr>
              <w:pStyle w:val="76"/>
              <w:rPr>
                <w:ins w:id="37" w:author="ZTE" w:date="2025-03-17T09:13:36Z"/>
                <w:rFonts w:hint="default" w:ascii="Arial" w:hAnsi="Arial" w:cs="Arial" w:eastAsiaTheme="minorEastAsia"/>
                <w:sz w:val="18"/>
                <w:lang w:val="en-US" w:eastAsia="zh-CN" w:bidi="ar-SA"/>
              </w:rPr>
            </w:pPr>
            <w:ins w:id="38" w:author="ZTE" w:date="2025-03-17T09:14:07Z">
              <w:r>
                <w:rPr>
                  <w:rFonts w:cs="Arial"/>
                </w:rPr>
                <w:t>±</w:t>
              </w:r>
            </w:ins>
            <w:ins w:id="39" w:author="ZTE" w:date="2025-08-05T10:33:03Z">
              <w:r>
                <w:rPr>
                  <w:rFonts w:hint="eastAsia" w:cs="Arial"/>
                  <w:lang w:val="en-US" w:eastAsia="zh-CN"/>
                </w:rPr>
                <w:t>400</w:t>
              </w:r>
            </w:ins>
          </w:p>
        </w:tc>
        <w:tc>
          <w:tcPr>
            <w:tcW w:w="3010" w:type="dxa"/>
            <w:shd w:val="clear" w:color="auto" w:fill="auto"/>
            <w:vAlign w:val="center"/>
          </w:tcPr>
          <w:p>
            <w:pPr>
              <w:pStyle w:val="76"/>
              <w:rPr>
                <w:ins w:id="40" w:author="ZTE" w:date="2025-03-17T09:13:36Z"/>
                <w:rFonts w:ascii="Arial" w:hAnsi="Arial" w:cs="Arial" w:eastAsiaTheme="minorEastAsia"/>
                <w:sz w:val="18"/>
                <w:lang w:val="en-GB" w:eastAsia="en-US" w:bidi="ar-SA"/>
              </w:rPr>
            </w:pPr>
            <w:ins w:id="41" w:author="ZTE" w:date="2025-03-17T09:14:1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ins w:id="42" w:author="ZTE" w:date="2025-03-17T09:14:07Z"/>
                <w:rFonts w:ascii="Arial" w:hAnsi="Arial" w:cs="Arial" w:eastAsiaTheme="minorEastAsia"/>
                <w:sz w:val="18"/>
                <w:lang w:val="en-GB" w:eastAsia="en-US" w:bidi="ar-SA"/>
              </w:rPr>
            </w:pPr>
            <w:ins w:id="43" w:author="ZTE" w:date="2025-03-17T09:14:08Z">
              <w:r>
                <w:rPr>
                  <w:rFonts w:cs="Arial"/>
                </w:rPr>
                <w:t>±1</w:t>
              </w:r>
            </w:ins>
            <w:ins w:id="44" w:author="ZTE" w:date="2025-03-17T09:14:35Z">
              <w:r>
                <w:rPr>
                  <w:rFonts w:hint="eastAsia" w:cs="Arial"/>
                  <w:lang w:val="en-US" w:eastAsia="zh-CN"/>
                </w:rPr>
                <w:t>24</w:t>
              </w:r>
            </w:ins>
            <w:ins w:id="45" w:author="ZTE" w:date="2025-03-17T09:14:08Z">
              <w:r>
                <w:rPr>
                  <w:rFonts w:cs="Arial"/>
                </w:rPr>
                <w:t>0</w:t>
              </w:r>
            </w:ins>
          </w:p>
        </w:tc>
        <w:tc>
          <w:tcPr>
            <w:tcW w:w="3010" w:type="dxa"/>
            <w:shd w:val="clear" w:color="auto" w:fill="auto"/>
            <w:vAlign w:val="center"/>
          </w:tcPr>
          <w:p>
            <w:pPr>
              <w:pStyle w:val="76"/>
              <w:rPr>
                <w:ins w:id="46" w:author="ZTE" w:date="2025-03-17T09:14:12Z"/>
                <w:rFonts w:ascii="Arial" w:hAnsi="Arial" w:cs="Arial" w:eastAsiaTheme="minorEastAsia"/>
                <w:sz w:val="18"/>
                <w:lang w:val="sv-FI" w:eastAsia="en-US" w:bidi="ar-SA"/>
              </w:rPr>
            </w:pPr>
            <w:ins w:id="47" w:author="ZTE" w:date="2025-03-17T09:14:12Z">
              <w:r>
                <w:rPr>
                  <w:rFonts w:cs="Arial"/>
                  <w:lang w:val="sv-FI"/>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pPr>
              <w:pStyle w:val="76"/>
              <w:rPr>
                <w:rFonts w:cs="Arial"/>
              </w:rPr>
            </w:pPr>
            <w:r>
              <w:rPr>
                <w:rFonts w:cs="Arial"/>
              </w:rPr>
              <w:t>±370</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±1960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±380</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±1960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±390</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±2320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±325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±2350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±335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±2350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±345</w:t>
            </w:r>
          </w:p>
        </w:tc>
        <w:tc>
          <w:tcPr>
            <w:tcW w:w="3010" w:type="dxa"/>
            <w:tcBorders>
              <w:top w:val="single" w:color="auto" w:sz="4" w:space="0"/>
              <w:left w:val="single" w:color="auto" w:sz="4" w:space="0"/>
              <w:bottom w:val="single" w:color="auto" w:sz="4" w:space="0"/>
              <w:right w:val="single" w:color="auto" w:sz="4" w:space="0"/>
            </w:tcBorders>
            <w:vAlign w:val="center"/>
          </w:tcPr>
          <w:p>
            <w:pPr>
              <w:pStyle w:val="76"/>
              <w:rPr>
                <w:rFonts w:cs="Arial"/>
                <w:lang w:val="sv-FI"/>
              </w:rPr>
            </w:pPr>
            <w:r>
              <w:rPr>
                <w:rFonts w:cs="Arial"/>
                <w:lang w:eastAsia="en-GB"/>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76"/>
              <w:rPr>
                <w:rFonts w:cs="Arial"/>
                <w:lang w:val="sv-FI"/>
              </w:rPr>
            </w:pPr>
            <w:r>
              <w:rPr>
                <w:rFonts w:cs="Arial"/>
                <w:lang w:val="sv-FI" w:eastAsia="en-GB"/>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±355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±2710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±365</w:t>
            </w:r>
          </w:p>
        </w:tc>
        <w:tc>
          <w:tcPr>
            <w:tcW w:w="30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val="sv-FI" w:eastAsia="en-GB"/>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pPr>
              <w:pStyle w:val="76"/>
              <w:rPr>
                <w:rFonts w:cs="Arial"/>
              </w:rPr>
            </w:pPr>
            <w:r>
              <w:rPr>
                <w:rFonts w:cs="Arial"/>
              </w:rPr>
              <w:t>±375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±2710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60 MHz (Note 2)</w:t>
            </w:r>
          </w:p>
        </w:tc>
        <w:tc>
          <w:tcPr>
            <w:tcW w:w="2835" w:type="dxa"/>
            <w:shd w:val="clear" w:color="auto" w:fill="auto"/>
            <w:vAlign w:val="center"/>
          </w:tcPr>
          <w:p>
            <w:pPr>
              <w:pStyle w:val="76"/>
              <w:rPr>
                <w:rFonts w:cs="Arial"/>
              </w:rPr>
            </w:pPr>
            <w:r>
              <w:rPr>
                <w:rFonts w:cs="Arial"/>
              </w:rPr>
              <w:t>±395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±2710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70 MHz (Note 2)</w:t>
            </w:r>
          </w:p>
        </w:tc>
        <w:tc>
          <w:tcPr>
            <w:tcW w:w="2835" w:type="dxa"/>
            <w:shd w:val="clear" w:color="auto" w:fill="auto"/>
            <w:vAlign w:val="center"/>
          </w:tcPr>
          <w:p>
            <w:pPr>
              <w:pStyle w:val="76"/>
              <w:rPr>
                <w:rFonts w:cs="Arial"/>
              </w:rPr>
            </w:pPr>
            <w:r>
              <w:rPr>
                <w:rFonts w:cs="Arial"/>
              </w:rPr>
              <w:t>±415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±2710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80 MHz (Note 2)</w:t>
            </w:r>
          </w:p>
        </w:tc>
        <w:tc>
          <w:tcPr>
            <w:tcW w:w="2835" w:type="dxa"/>
            <w:shd w:val="clear" w:color="auto" w:fill="auto"/>
            <w:vAlign w:val="center"/>
          </w:tcPr>
          <w:p>
            <w:pPr>
              <w:pStyle w:val="76"/>
              <w:rPr>
                <w:rFonts w:cs="Arial"/>
              </w:rPr>
            </w:pPr>
            <w:r>
              <w:rPr>
                <w:rFonts w:cs="Arial"/>
              </w:rPr>
              <w:t>±435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±2710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lang w:val="sv-FI"/>
              </w:rPr>
              <w:t xml:space="preserve"> </w:t>
            </w:r>
            <w:r>
              <w:rPr>
                <w:rFonts w:cs="Arial"/>
              </w:rPr>
              <w:t>NR 90 MHz (Note 2)</w:t>
            </w:r>
          </w:p>
        </w:tc>
        <w:tc>
          <w:tcPr>
            <w:tcW w:w="2835" w:type="dxa"/>
            <w:shd w:val="clear" w:color="auto" w:fill="auto"/>
            <w:vAlign w:val="center"/>
          </w:tcPr>
          <w:p>
            <w:pPr>
              <w:pStyle w:val="76"/>
              <w:rPr>
                <w:rFonts w:cs="Arial"/>
              </w:rPr>
            </w:pPr>
            <w:r>
              <w:rPr>
                <w:rFonts w:cs="Arial"/>
              </w:rPr>
              <w:t>±365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±2530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pPr>
              <w:pStyle w:val="76"/>
              <w:rPr>
                <w:rFonts w:cs="Arial"/>
              </w:rPr>
            </w:pPr>
            <w:r>
              <w:rPr>
                <w:rFonts w:cs="Arial"/>
              </w:rPr>
              <w:t>NR 100 MHz (Note 2)</w:t>
            </w:r>
          </w:p>
        </w:tc>
        <w:tc>
          <w:tcPr>
            <w:tcW w:w="2835" w:type="dxa"/>
            <w:shd w:val="clear" w:color="auto" w:fill="auto"/>
            <w:vAlign w:val="center"/>
          </w:tcPr>
          <w:p>
            <w:pPr>
              <w:pStyle w:val="76"/>
              <w:rPr>
                <w:rFonts w:cs="Arial"/>
              </w:rPr>
            </w:pPr>
            <w:r>
              <w:rPr>
                <w:rFonts w:cs="Arial"/>
              </w:rPr>
              <w:t>±385</w:t>
            </w:r>
          </w:p>
        </w:tc>
        <w:tc>
          <w:tcPr>
            <w:tcW w:w="3010" w:type="dxa"/>
            <w:shd w:val="clear" w:color="auto" w:fill="auto"/>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pPr>
              <w:pStyle w:val="76"/>
              <w:rPr>
                <w:rFonts w:cs="Arial"/>
              </w:rPr>
            </w:pPr>
          </w:p>
        </w:tc>
        <w:tc>
          <w:tcPr>
            <w:tcW w:w="2835" w:type="dxa"/>
            <w:shd w:val="clear" w:color="auto" w:fill="auto"/>
            <w:vAlign w:val="center"/>
          </w:tcPr>
          <w:p>
            <w:pPr>
              <w:pStyle w:val="76"/>
              <w:rPr>
                <w:rFonts w:cs="Arial"/>
              </w:rPr>
            </w:pPr>
            <w:r>
              <w:rPr>
                <w:rFonts w:cs="Arial"/>
              </w:rPr>
              <w:t>±2530</w:t>
            </w:r>
          </w:p>
        </w:tc>
        <w:tc>
          <w:tcPr>
            <w:tcW w:w="3010" w:type="dxa"/>
            <w:shd w:val="clear" w:color="auto" w:fill="auto"/>
            <w:vAlign w:val="center"/>
          </w:tcPr>
          <w:p>
            <w:pPr>
              <w:pStyle w:val="76"/>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shd w:val="clear" w:color="auto" w:fill="auto"/>
          </w:tcPr>
          <w:p>
            <w:pPr>
              <w:pStyle w:val="90"/>
            </w:pPr>
            <w:r>
              <w:t>NOTE 1:</w:t>
            </w:r>
            <w:r>
              <w:tab/>
            </w:r>
            <w:r>
              <w:t xml:space="preserve">Interfering signal consisting of one resource block positioned at the stated offset, the channel bandwidth of the interfering signal is located adjacently to the Base Station RF Bandwidth edge. </w:t>
            </w:r>
          </w:p>
          <w:p>
            <w:pPr>
              <w:pStyle w:val="90"/>
            </w:pPr>
            <w:r>
              <w:t>NOTE 2:</w:t>
            </w:r>
            <w:r>
              <w:tab/>
            </w:r>
            <w:r>
              <w:t xml:space="preserve">This requirement shall apply only for an E-UTRA FRC A1-3 or NR G-FRC mapped to the frequency range at the channel edge adjacent to the interfering signals. </w:t>
            </w:r>
          </w:p>
          <w:p>
            <w:pPr>
              <w:pStyle w:val="90"/>
            </w:pPr>
            <w:r>
              <w:t>NOTE 3:</w:t>
            </w:r>
            <w:r>
              <w:tab/>
            </w:r>
            <w:r>
              <w:t>The frequency offset shall be adjusted to accommodate the IMD product to fall in the NB-IoT RB for NB-IoT in-band/guard band operation.</w:t>
            </w:r>
          </w:p>
          <w:p>
            <w:pPr>
              <w:pStyle w:val="90"/>
            </w:pPr>
            <w:r>
              <w:t>NOTE 4</w:t>
            </w:r>
            <w:r>
              <w:rPr>
                <w:rFonts w:cs="Arial"/>
                <w:szCs w:val="18"/>
              </w:rPr>
              <w:t>:</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31A755A"/>
    <w:rsid w:val="13796512"/>
    <w:rsid w:val="13CC1936"/>
    <w:rsid w:val="142972B5"/>
    <w:rsid w:val="14300CA0"/>
    <w:rsid w:val="14F371D1"/>
    <w:rsid w:val="14FE6A1B"/>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D867EF8"/>
    <w:rsid w:val="1FD027BF"/>
    <w:rsid w:val="20081702"/>
    <w:rsid w:val="2012571E"/>
    <w:rsid w:val="204E21A2"/>
    <w:rsid w:val="215217A4"/>
    <w:rsid w:val="222324F8"/>
    <w:rsid w:val="22595D94"/>
    <w:rsid w:val="229D0E8A"/>
    <w:rsid w:val="23CE44C8"/>
    <w:rsid w:val="24280D55"/>
    <w:rsid w:val="24910C2E"/>
    <w:rsid w:val="250D4CA7"/>
    <w:rsid w:val="25420DFA"/>
    <w:rsid w:val="25F67A36"/>
    <w:rsid w:val="26BC1033"/>
    <w:rsid w:val="27F81AA0"/>
    <w:rsid w:val="28B34918"/>
    <w:rsid w:val="29230DF7"/>
    <w:rsid w:val="2929137E"/>
    <w:rsid w:val="2A3A1E92"/>
    <w:rsid w:val="2AD22CF3"/>
    <w:rsid w:val="2CDC4F35"/>
    <w:rsid w:val="2CF47A58"/>
    <w:rsid w:val="2D690695"/>
    <w:rsid w:val="2D8B1E85"/>
    <w:rsid w:val="2E70486D"/>
    <w:rsid w:val="2E8F7781"/>
    <w:rsid w:val="2F2E400F"/>
    <w:rsid w:val="308804AE"/>
    <w:rsid w:val="308B51BC"/>
    <w:rsid w:val="31733FF4"/>
    <w:rsid w:val="31CB7229"/>
    <w:rsid w:val="32DA1EA6"/>
    <w:rsid w:val="34D95E61"/>
    <w:rsid w:val="35283838"/>
    <w:rsid w:val="359E6C74"/>
    <w:rsid w:val="368C2F70"/>
    <w:rsid w:val="36FA6080"/>
    <w:rsid w:val="371421D0"/>
    <w:rsid w:val="37DB2CFD"/>
    <w:rsid w:val="3918634B"/>
    <w:rsid w:val="39275412"/>
    <w:rsid w:val="394E6CCF"/>
    <w:rsid w:val="395D6E2F"/>
    <w:rsid w:val="3B1562CA"/>
    <w:rsid w:val="3BBF35D2"/>
    <w:rsid w:val="3C3E0FCE"/>
    <w:rsid w:val="3C4B4FEE"/>
    <w:rsid w:val="3C515183"/>
    <w:rsid w:val="3C7A5104"/>
    <w:rsid w:val="3E5F6577"/>
    <w:rsid w:val="3E8F0951"/>
    <w:rsid w:val="3EEA220B"/>
    <w:rsid w:val="3F814E1B"/>
    <w:rsid w:val="40EC3617"/>
    <w:rsid w:val="433B4241"/>
    <w:rsid w:val="441445A5"/>
    <w:rsid w:val="449A7C6B"/>
    <w:rsid w:val="44C91223"/>
    <w:rsid w:val="450256C4"/>
    <w:rsid w:val="45104833"/>
    <w:rsid w:val="45CE2F42"/>
    <w:rsid w:val="45DC627A"/>
    <w:rsid w:val="45E6344A"/>
    <w:rsid w:val="46C4402C"/>
    <w:rsid w:val="4756628A"/>
    <w:rsid w:val="477F7447"/>
    <w:rsid w:val="484C3862"/>
    <w:rsid w:val="498902F7"/>
    <w:rsid w:val="4A383145"/>
    <w:rsid w:val="4AA67A17"/>
    <w:rsid w:val="4ACD671D"/>
    <w:rsid w:val="4B944949"/>
    <w:rsid w:val="4BA73B5F"/>
    <w:rsid w:val="4BB3693E"/>
    <w:rsid w:val="4CE3471E"/>
    <w:rsid w:val="4D855B25"/>
    <w:rsid w:val="4DAE7EA0"/>
    <w:rsid w:val="4F5A3DC7"/>
    <w:rsid w:val="505D4C66"/>
    <w:rsid w:val="52860A6D"/>
    <w:rsid w:val="52AD5810"/>
    <w:rsid w:val="530878B8"/>
    <w:rsid w:val="53AB200A"/>
    <w:rsid w:val="54FB7AAA"/>
    <w:rsid w:val="558F64BE"/>
    <w:rsid w:val="559F0489"/>
    <w:rsid w:val="55FF2067"/>
    <w:rsid w:val="5615283D"/>
    <w:rsid w:val="56985C48"/>
    <w:rsid w:val="576561FA"/>
    <w:rsid w:val="57AC2EFB"/>
    <w:rsid w:val="57B74E43"/>
    <w:rsid w:val="57C2183D"/>
    <w:rsid w:val="57E161D2"/>
    <w:rsid w:val="586B0A57"/>
    <w:rsid w:val="58FB1502"/>
    <w:rsid w:val="58FF0F15"/>
    <w:rsid w:val="591861FC"/>
    <w:rsid w:val="59E76269"/>
    <w:rsid w:val="5A963C63"/>
    <w:rsid w:val="5B0373F5"/>
    <w:rsid w:val="5B3F6646"/>
    <w:rsid w:val="5B9B33D8"/>
    <w:rsid w:val="5CE66A39"/>
    <w:rsid w:val="5CF903E1"/>
    <w:rsid w:val="5E0F3F77"/>
    <w:rsid w:val="5E413D91"/>
    <w:rsid w:val="5F6F256D"/>
    <w:rsid w:val="60293325"/>
    <w:rsid w:val="603E29E7"/>
    <w:rsid w:val="610C72B9"/>
    <w:rsid w:val="61896E97"/>
    <w:rsid w:val="61D72B4A"/>
    <w:rsid w:val="6270166A"/>
    <w:rsid w:val="631035AE"/>
    <w:rsid w:val="634145C8"/>
    <w:rsid w:val="635F6DB2"/>
    <w:rsid w:val="63611E64"/>
    <w:rsid w:val="65745829"/>
    <w:rsid w:val="65F10827"/>
    <w:rsid w:val="66846F11"/>
    <w:rsid w:val="67A859E0"/>
    <w:rsid w:val="67DB44E1"/>
    <w:rsid w:val="67E86F07"/>
    <w:rsid w:val="684C6253"/>
    <w:rsid w:val="68A9073C"/>
    <w:rsid w:val="6908683F"/>
    <w:rsid w:val="691B1EEF"/>
    <w:rsid w:val="697D1133"/>
    <w:rsid w:val="6A417E8A"/>
    <w:rsid w:val="6B5C048C"/>
    <w:rsid w:val="6B5D50F6"/>
    <w:rsid w:val="6BB96416"/>
    <w:rsid w:val="6BEC2183"/>
    <w:rsid w:val="6C5F4575"/>
    <w:rsid w:val="6C604103"/>
    <w:rsid w:val="6D311BCD"/>
    <w:rsid w:val="6F5524CC"/>
    <w:rsid w:val="6FD45B1D"/>
    <w:rsid w:val="70CF686C"/>
    <w:rsid w:val="721B60F7"/>
    <w:rsid w:val="727434EB"/>
    <w:rsid w:val="72A04F39"/>
    <w:rsid w:val="72D37BD1"/>
    <w:rsid w:val="733F0D8F"/>
    <w:rsid w:val="74F17DE1"/>
    <w:rsid w:val="756D5E43"/>
    <w:rsid w:val="75827477"/>
    <w:rsid w:val="75AA6811"/>
    <w:rsid w:val="75FE5DAE"/>
    <w:rsid w:val="764E3268"/>
    <w:rsid w:val="765803DC"/>
    <w:rsid w:val="76A83D06"/>
    <w:rsid w:val="7859174B"/>
    <w:rsid w:val="788A3959"/>
    <w:rsid w:val="792D3176"/>
    <w:rsid w:val="796C6DDB"/>
    <w:rsid w:val="7B0F025A"/>
    <w:rsid w:val="7CF056A1"/>
    <w:rsid w:val="7D193BB8"/>
    <w:rsid w:val="7D47211F"/>
    <w:rsid w:val="7E001664"/>
    <w:rsid w:val="7E8769F7"/>
    <w:rsid w:val="7E8D2386"/>
    <w:rsid w:val="7EA2543D"/>
    <w:rsid w:val="7ED91C66"/>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2025-08-15T08:11:05Z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